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A661" w14:textId="77777777" w:rsidR="00A045A1" w:rsidRDefault="004E6082" w:rsidP="002C2F61">
      <w:pPr>
        <w:pStyle w:val="NoSpacing"/>
        <w:rPr>
          <w:rFonts w:ascii="Arial" w:hAnsi="Arial" w:cs="Arial"/>
          <w:b/>
          <w:bCs/>
          <w:sz w:val="28"/>
          <w:szCs w:val="28"/>
        </w:rPr>
      </w:pPr>
      <w:r>
        <w:rPr>
          <w:rFonts w:ascii="Arial" w:hAnsi="Arial" w:cs="Arial"/>
          <w:b/>
          <w:bCs/>
          <w:sz w:val="28"/>
          <w:szCs w:val="28"/>
        </w:rPr>
        <w:t xml:space="preserve">     </w:t>
      </w:r>
    </w:p>
    <w:p w14:paraId="11E643B2" w14:textId="53F57B57" w:rsidR="0031613A" w:rsidRPr="00C22F56" w:rsidRDefault="0031613A" w:rsidP="002C2F61">
      <w:pPr>
        <w:pStyle w:val="NoSpacing"/>
        <w:rPr>
          <w:rFonts w:ascii="Arial" w:hAnsi="Arial" w:cs="Arial"/>
          <w:b/>
          <w:bCs/>
          <w:sz w:val="28"/>
          <w:szCs w:val="28"/>
        </w:rPr>
      </w:pPr>
      <w:r w:rsidRPr="00C22F56">
        <w:rPr>
          <w:rFonts w:ascii="Arial" w:hAnsi="Arial" w:cs="Arial"/>
          <w:b/>
          <w:bCs/>
          <w:sz w:val="28"/>
          <w:szCs w:val="28"/>
        </w:rPr>
        <w:t>Service Specification for Community Pharmacy Provision of</w:t>
      </w:r>
    </w:p>
    <w:p w14:paraId="5C27E346" w14:textId="3AC08EB0" w:rsidR="002C2F61" w:rsidRDefault="0031613A" w:rsidP="00A045A1">
      <w:pPr>
        <w:pStyle w:val="NoSpacing"/>
        <w:jc w:val="center"/>
        <w:rPr>
          <w:rFonts w:ascii="Arial" w:hAnsi="Arial" w:cs="Arial"/>
          <w:b/>
          <w:bCs/>
          <w:sz w:val="28"/>
          <w:szCs w:val="28"/>
        </w:rPr>
      </w:pPr>
      <w:r w:rsidRPr="00C22F56">
        <w:rPr>
          <w:rFonts w:ascii="Arial" w:hAnsi="Arial" w:cs="Arial"/>
          <w:b/>
          <w:bCs/>
          <w:sz w:val="28"/>
          <w:szCs w:val="28"/>
        </w:rPr>
        <w:t>Smoking Cessation Services</w:t>
      </w:r>
    </w:p>
    <w:p w14:paraId="5B1D0D3A" w14:textId="77777777" w:rsidR="00A045A1" w:rsidRPr="00A045A1" w:rsidRDefault="00A045A1" w:rsidP="00A045A1">
      <w:pPr>
        <w:pStyle w:val="NoSpacing"/>
        <w:jc w:val="center"/>
        <w:rPr>
          <w:rFonts w:ascii="Arial" w:hAnsi="Arial" w:cs="Arial"/>
          <w:b/>
          <w:bCs/>
          <w:sz w:val="28"/>
          <w:szCs w:val="28"/>
        </w:rPr>
      </w:pPr>
    </w:p>
    <w:tbl>
      <w:tblPr>
        <w:tblStyle w:val="TableGrid"/>
        <w:tblW w:w="10141" w:type="dxa"/>
        <w:tblInd w:w="-365" w:type="dxa"/>
        <w:tblLook w:val="04A0" w:firstRow="1" w:lastRow="0" w:firstColumn="1" w:lastColumn="0" w:noHBand="0" w:noVBand="1"/>
      </w:tblPr>
      <w:tblGrid>
        <w:gridCol w:w="2821"/>
        <w:gridCol w:w="7320"/>
      </w:tblGrid>
      <w:tr w:rsidR="0031613A" w14:paraId="05C74887" w14:textId="77777777" w:rsidTr="2090584F">
        <w:trPr>
          <w:trHeight w:val="520"/>
        </w:trPr>
        <w:tc>
          <w:tcPr>
            <w:tcW w:w="2821" w:type="dxa"/>
            <w:shd w:val="clear" w:color="auto" w:fill="FFFFFF" w:themeFill="background1"/>
          </w:tcPr>
          <w:p w14:paraId="56776923" w14:textId="276B13ED" w:rsidR="0031613A" w:rsidRPr="004E6082" w:rsidRDefault="0031613A" w:rsidP="005B6F95">
            <w:pPr>
              <w:rPr>
                <w:b/>
                <w:bCs/>
              </w:rPr>
            </w:pPr>
            <w:r w:rsidRPr="004E6082">
              <w:rPr>
                <w:b/>
                <w:bCs/>
              </w:rPr>
              <w:t>Service Specification No. 1</w:t>
            </w:r>
            <w:r w:rsidR="00694C57" w:rsidRPr="004E6082">
              <w:rPr>
                <w:b/>
                <w:bCs/>
              </w:rPr>
              <w:t>.</w:t>
            </w:r>
            <w:r w:rsidR="00566AE2" w:rsidRPr="004E6082">
              <w:rPr>
                <w:b/>
                <w:bCs/>
              </w:rPr>
              <w:t>3</w:t>
            </w:r>
            <w:r w:rsidR="00190D1E">
              <w:rPr>
                <w:b/>
                <w:bCs/>
              </w:rPr>
              <w:t>.1</w:t>
            </w:r>
          </w:p>
        </w:tc>
        <w:tc>
          <w:tcPr>
            <w:tcW w:w="7320" w:type="dxa"/>
          </w:tcPr>
          <w:p w14:paraId="3E094C77" w14:textId="77777777" w:rsidR="0031613A" w:rsidRPr="004E6082" w:rsidRDefault="0031613A" w:rsidP="005B6F95">
            <w:pPr>
              <w:rPr>
                <w:b/>
                <w:bCs/>
              </w:rPr>
            </w:pPr>
          </w:p>
        </w:tc>
      </w:tr>
      <w:tr w:rsidR="0031613A" w14:paraId="6D6B1C0E" w14:textId="77777777" w:rsidTr="2090584F">
        <w:trPr>
          <w:trHeight w:val="267"/>
        </w:trPr>
        <w:tc>
          <w:tcPr>
            <w:tcW w:w="2821" w:type="dxa"/>
            <w:shd w:val="clear" w:color="auto" w:fill="FFFFFF" w:themeFill="background1"/>
          </w:tcPr>
          <w:p w14:paraId="4936079C" w14:textId="77777777" w:rsidR="0031613A" w:rsidRPr="004E6082" w:rsidRDefault="0031613A" w:rsidP="005B6F95">
            <w:pPr>
              <w:rPr>
                <w:b/>
                <w:bCs/>
              </w:rPr>
            </w:pPr>
            <w:r w:rsidRPr="004E6082">
              <w:rPr>
                <w:b/>
                <w:bCs/>
              </w:rPr>
              <w:t>Service</w:t>
            </w:r>
          </w:p>
        </w:tc>
        <w:tc>
          <w:tcPr>
            <w:tcW w:w="7320" w:type="dxa"/>
          </w:tcPr>
          <w:p w14:paraId="0844BB7D" w14:textId="77777777" w:rsidR="0032055C" w:rsidRPr="002356A0" w:rsidRDefault="0031613A" w:rsidP="005B6F95">
            <w:pPr>
              <w:rPr>
                <w:b/>
                <w:bCs/>
              </w:rPr>
            </w:pPr>
            <w:r w:rsidRPr="002356A0">
              <w:rPr>
                <w:b/>
                <w:bCs/>
              </w:rPr>
              <w:t xml:space="preserve">Smoking Cessation Services in </w:t>
            </w:r>
            <w:r w:rsidR="00B22FAC" w:rsidRPr="002356A0">
              <w:rPr>
                <w:b/>
                <w:bCs/>
              </w:rPr>
              <w:t>Sefton</w:t>
            </w:r>
            <w:r w:rsidRPr="002356A0">
              <w:rPr>
                <w:b/>
                <w:bCs/>
              </w:rPr>
              <w:t xml:space="preserve"> Community Pharmacies</w:t>
            </w:r>
            <w:r w:rsidR="0032055C" w:rsidRPr="002356A0">
              <w:rPr>
                <w:b/>
                <w:bCs/>
              </w:rPr>
              <w:t>:</w:t>
            </w:r>
          </w:p>
          <w:p w14:paraId="38CEB7BA" w14:textId="754B3961" w:rsidR="0031613A" w:rsidRPr="004E6082" w:rsidRDefault="0032055C" w:rsidP="005B6F95">
            <w:pPr>
              <w:rPr>
                <w:b/>
                <w:bCs/>
              </w:rPr>
            </w:pPr>
            <w:r w:rsidRPr="002356A0">
              <w:rPr>
                <w:b/>
                <w:bCs/>
              </w:rPr>
              <w:t>The provision of Nicotine replacement therapy and the delivery of smoking cessation support.</w:t>
            </w:r>
            <w:r w:rsidR="0031613A" w:rsidRPr="004E6082">
              <w:rPr>
                <w:b/>
                <w:bCs/>
              </w:rPr>
              <w:t xml:space="preserve"> </w:t>
            </w:r>
          </w:p>
        </w:tc>
      </w:tr>
      <w:tr w:rsidR="0031613A" w14:paraId="28E357A0" w14:textId="77777777" w:rsidTr="2090584F">
        <w:trPr>
          <w:trHeight w:val="267"/>
        </w:trPr>
        <w:tc>
          <w:tcPr>
            <w:tcW w:w="2821" w:type="dxa"/>
            <w:shd w:val="clear" w:color="auto" w:fill="FFFFFF" w:themeFill="background1"/>
          </w:tcPr>
          <w:p w14:paraId="41203BD9" w14:textId="77777777" w:rsidR="0031613A" w:rsidRPr="004E6082" w:rsidRDefault="0031613A" w:rsidP="005B6F95">
            <w:pPr>
              <w:rPr>
                <w:b/>
                <w:bCs/>
              </w:rPr>
            </w:pPr>
            <w:r w:rsidRPr="004E6082">
              <w:rPr>
                <w:b/>
                <w:bCs/>
              </w:rPr>
              <w:t>Commissioning Lead</w:t>
            </w:r>
          </w:p>
        </w:tc>
        <w:tc>
          <w:tcPr>
            <w:tcW w:w="7320" w:type="dxa"/>
          </w:tcPr>
          <w:p w14:paraId="0CA4C9EE" w14:textId="77777777" w:rsidR="0031613A" w:rsidRPr="004E6082" w:rsidRDefault="0031613A" w:rsidP="005B6F95">
            <w:pPr>
              <w:rPr>
                <w:b/>
                <w:bCs/>
              </w:rPr>
            </w:pPr>
            <w:r w:rsidRPr="004E6082">
              <w:rPr>
                <w:b/>
                <w:bCs/>
              </w:rPr>
              <w:t>ABL Health Ltd</w:t>
            </w:r>
          </w:p>
        </w:tc>
      </w:tr>
      <w:tr w:rsidR="0031613A" w14:paraId="21B65BAC" w14:textId="77777777" w:rsidTr="2090584F">
        <w:trPr>
          <w:trHeight w:val="253"/>
        </w:trPr>
        <w:tc>
          <w:tcPr>
            <w:tcW w:w="2821" w:type="dxa"/>
            <w:shd w:val="clear" w:color="auto" w:fill="FFFFFF" w:themeFill="background1"/>
          </w:tcPr>
          <w:p w14:paraId="34A55663" w14:textId="77777777" w:rsidR="0031613A" w:rsidRPr="004E6082" w:rsidRDefault="0031613A" w:rsidP="005B6F95">
            <w:pPr>
              <w:rPr>
                <w:b/>
                <w:bCs/>
              </w:rPr>
            </w:pPr>
            <w:r w:rsidRPr="004E6082">
              <w:rPr>
                <w:b/>
                <w:bCs/>
              </w:rPr>
              <w:t>Provider Lead</w:t>
            </w:r>
          </w:p>
        </w:tc>
        <w:tc>
          <w:tcPr>
            <w:tcW w:w="7320" w:type="dxa"/>
          </w:tcPr>
          <w:p w14:paraId="45EFF5D2" w14:textId="77777777" w:rsidR="0031613A" w:rsidRPr="004E6082" w:rsidRDefault="0031613A" w:rsidP="005B6F95">
            <w:pPr>
              <w:rPr>
                <w:b/>
                <w:bCs/>
              </w:rPr>
            </w:pPr>
            <w:r w:rsidRPr="004E6082">
              <w:rPr>
                <w:b/>
                <w:bCs/>
              </w:rPr>
              <w:t>Lead Pharmacist</w:t>
            </w:r>
          </w:p>
        </w:tc>
      </w:tr>
      <w:tr w:rsidR="0031613A" w14:paraId="77DD5A6F" w14:textId="77777777" w:rsidTr="2090584F">
        <w:trPr>
          <w:trHeight w:val="267"/>
        </w:trPr>
        <w:tc>
          <w:tcPr>
            <w:tcW w:w="2821" w:type="dxa"/>
            <w:shd w:val="clear" w:color="auto" w:fill="FFFFFF" w:themeFill="background1"/>
          </w:tcPr>
          <w:p w14:paraId="6BE79BEA" w14:textId="77777777" w:rsidR="0031613A" w:rsidRPr="004E6082" w:rsidRDefault="0031613A" w:rsidP="005B6F95">
            <w:pPr>
              <w:rPr>
                <w:b/>
                <w:bCs/>
              </w:rPr>
            </w:pPr>
            <w:r w:rsidRPr="004E6082">
              <w:rPr>
                <w:b/>
                <w:bCs/>
              </w:rPr>
              <w:t>Period</w:t>
            </w:r>
          </w:p>
        </w:tc>
        <w:tc>
          <w:tcPr>
            <w:tcW w:w="7320" w:type="dxa"/>
          </w:tcPr>
          <w:p w14:paraId="2F555652" w14:textId="749E79E2" w:rsidR="0031613A" w:rsidRPr="004E6082" w:rsidRDefault="006B6BF7" w:rsidP="005B6F95">
            <w:pPr>
              <w:rPr>
                <w:b/>
                <w:bCs/>
              </w:rPr>
            </w:pPr>
            <w:r w:rsidRPr="2090584F">
              <w:rPr>
                <w:b/>
                <w:bCs/>
              </w:rPr>
              <w:t>1</w:t>
            </w:r>
            <w:r w:rsidRPr="2090584F">
              <w:rPr>
                <w:b/>
                <w:bCs/>
                <w:vertAlign w:val="superscript"/>
              </w:rPr>
              <w:t>st</w:t>
            </w:r>
            <w:r w:rsidRPr="2090584F">
              <w:rPr>
                <w:b/>
                <w:bCs/>
              </w:rPr>
              <w:t xml:space="preserve"> </w:t>
            </w:r>
            <w:r w:rsidR="007569AD">
              <w:rPr>
                <w:b/>
                <w:bCs/>
              </w:rPr>
              <w:t xml:space="preserve">June </w:t>
            </w:r>
            <w:r w:rsidR="0031613A" w:rsidRPr="2090584F">
              <w:rPr>
                <w:b/>
                <w:bCs/>
              </w:rPr>
              <w:t>202</w:t>
            </w:r>
            <w:r w:rsidR="3BAEA88B" w:rsidRPr="2090584F">
              <w:rPr>
                <w:b/>
                <w:bCs/>
              </w:rPr>
              <w:t>6</w:t>
            </w:r>
            <w:r w:rsidR="008D4D5C" w:rsidRPr="2090584F">
              <w:rPr>
                <w:b/>
                <w:bCs/>
              </w:rPr>
              <w:t xml:space="preserve"> – 31</w:t>
            </w:r>
            <w:r w:rsidR="008D4D5C" w:rsidRPr="2090584F">
              <w:rPr>
                <w:b/>
                <w:bCs/>
                <w:vertAlign w:val="superscript"/>
              </w:rPr>
              <w:t>st</w:t>
            </w:r>
            <w:r w:rsidR="008D4D5C" w:rsidRPr="2090584F">
              <w:rPr>
                <w:b/>
                <w:bCs/>
              </w:rPr>
              <w:t xml:space="preserve"> March 202</w:t>
            </w:r>
            <w:r w:rsidR="300F6735" w:rsidRPr="2090584F">
              <w:rPr>
                <w:b/>
                <w:bCs/>
              </w:rPr>
              <w:t>7</w:t>
            </w:r>
          </w:p>
        </w:tc>
      </w:tr>
      <w:tr w:rsidR="0031613A" w14:paraId="68E09805" w14:textId="77777777" w:rsidTr="2090584F">
        <w:trPr>
          <w:trHeight w:val="253"/>
        </w:trPr>
        <w:tc>
          <w:tcPr>
            <w:tcW w:w="2821" w:type="dxa"/>
            <w:shd w:val="clear" w:color="auto" w:fill="FFFFFF" w:themeFill="background1"/>
          </w:tcPr>
          <w:p w14:paraId="01E33B94" w14:textId="77777777" w:rsidR="0031613A" w:rsidRPr="004E6082" w:rsidRDefault="0031613A" w:rsidP="005B6F95">
            <w:pPr>
              <w:rPr>
                <w:b/>
                <w:bCs/>
              </w:rPr>
            </w:pPr>
            <w:r w:rsidRPr="004E6082">
              <w:rPr>
                <w:b/>
                <w:bCs/>
              </w:rPr>
              <w:t>Date of Review</w:t>
            </w:r>
          </w:p>
        </w:tc>
        <w:tc>
          <w:tcPr>
            <w:tcW w:w="7320" w:type="dxa"/>
          </w:tcPr>
          <w:p w14:paraId="05715BEF" w14:textId="1B4B12F4" w:rsidR="0031613A" w:rsidRPr="004E6082" w:rsidRDefault="0031613A" w:rsidP="005B6F95">
            <w:pPr>
              <w:rPr>
                <w:b/>
                <w:bCs/>
              </w:rPr>
            </w:pPr>
          </w:p>
        </w:tc>
      </w:tr>
    </w:tbl>
    <w:p w14:paraId="3D0A60C5" w14:textId="77777777" w:rsidR="0031613A" w:rsidRDefault="0031613A" w:rsidP="0031613A"/>
    <w:tbl>
      <w:tblPr>
        <w:tblStyle w:val="TableGrid"/>
        <w:tblW w:w="10141" w:type="dxa"/>
        <w:tblInd w:w="-365" w:type="dxa"/>
        <w:tblLook w:val="04A0" w:firstRow="1" w:lastRow="0" w:firstColumn="1" w:lastColumn="0" w:noHBand="0" w:noVBand="1"/>
      </w:tblPr>
      <w:tblGrid>
        <w:gridCol w:w="10141"/>
      </w:tblGrid>
      <w:tr w:rsidR="0031613A" w14:paraId="7727E6E7" w14:textId="77777777" w:rsidTr="2FAFE03E">
        <w:tc>
          <w:tcPr>
            <w:tcW w:w="10141" w:type="dxa"/>
            <w:shd w:val="clear" w:color="auto" w:fill="FFFFFF" w:themeFill="background1"/>
          </w:tcPr>
          <w:p w14:paraId="522F2EEC" w14:textId="60D75CFC" w:rsidR="0031613A" w:rsidRPr="00A045A1" w:rsidRDefault="002C2F61" w:rsidP="002C2F61">
            <w:pPr>
              <w:rPr>
                <w:b/>
                <w:bCs/>
              </w:rPr>
            </w:pPr>
            <w:r w:rsidRPr="00A045A1">
              <w:rPr>
                <w:b/>
                <w:bCs/>
              </w:rPr>
              <w:t>1.</w:t>
            </w:r>
            <w:r w:rsidR="0031613A" w:rsidRPr="00A045A1">
              <w:rPr>
                <w:b/>
                <w:bCs/>
              </w:rPr>
              <w:t>Population Needs</w:t>
            </w:r>
          </w:p>
        </w:tc>
      </w:tr>
      <w:tr w:rsidR="0031613A" w14:paraId="0BF76C60" w14:textId="77777777" w:rsidTr="2FAFE03E">
        <w:tc>
          <w:tcPr>
            <w:tcW w:w="10141" w:type="dxa"/>
          </w:tcPr>
          <w:p w14:paraId="5ED0CF39" w14:textId="77777777" w:rsidR="004E6082" w:rsidRPr="002356A0" w:rsidRDefault="004E6082" w:rsidP="00B22FAC"/>
          <w:p w14:paraId="4EF25ABD" w14:textId="1AD7AB3C" w:rsidR="0031613A" w:rsidRPr="002356A0" w:rsidRDefault="0031613A" w:rsidP="00B22FAC">
            <w:r w:rsidRPr="002356A0">
              <w:t>Smoking remains the primary cause of preventable morbidity and premature death, killing over 79,000 people in England each year</w:t>
            </w:r>
            <w:r w:rsidR="00560849" w:rsidRPr="002356A0">
              <w:t>.</w:t>
            </w:r>
            <w:r w:rsidR="009161C5" w:rsidRPr="002356A0">
              <w:t xml:space="preserve"> Sefton is ranked 89</w:t>
            </w:r>
            <w:r w:rsidR="009161C5" w:rsidRPr="002356A0">
              <w:rPr>
                <w:vertAlign w:val="superscript"/>
              </w:rPr>
              <w:t>th</w:t>
            </w:r>
            <w:r w:rsidR="009161C5" w:rsidRPr="002356A0">
              <w:t xml:space="preserve"> most deprived Local Authority in England and Wales (IMD 2019) with a population of 27</w:t>
            </w:r>
            <w:r w:rsidR="00566AE2" w:rsidRPr="002356A0">
              <w:t>9,231</w:t>
            </w:r>
            <w:r w:rsidR="009161C5" w:rsidRPr="002356A0">
              <w:t>.</w:t>
            </w:r>
            <w:r w:rsidR="00566AE2" w:rsidRPr="002356A0">
              <w:t xml:space="preserve"> Despite a significant reduction in the numbers of smokers over the past decade there are still approximately 22,000 adult smokers in Sefton, 7.9% of the adult population. </w:t>
            </w:r>
            <w:r w:rsidR="008A6D05" w:rsidRPr="002356A0">
              <w:t>However, this masks the higher smoking prevalence in the more socio-economically deprived areas of Sefton and those in other population subgroups.</w:t>
            </w:r>
            <w:r w:rsidR="00EE1B26" w:rsidRPr="002356A0">
              <w:t xml:space="preserve"> Based on a range of Local Authority deprivation indicators the wards cited as being in the top fifth of deprivation scores and where smoking cessation support should be focused are:</w:t>
            </w:r>
          </w:p>
          <w:p w14:paraId="65522162" w14:textId="46E08533" w:rsidR="009161C5" w:rsidRPr="002356A0" w:rsidRDefault="00EE1B26" w:rsidP="008A6D05">
            <w:r w:rsidRPr="002356A0">
              <w:t xml:space="preserve">Cambridge, </w:t>
            </w:r>
            <w:r w:rsidR="002356A0" w:rsidRPr="002356A0">
              <w:t xml:space="preserve">Duke`s, </w:t>
            </w:r>
            <w:r w:rsidRPr="002356A0">
              <w:t>Netherton and O</w:t>
            </w:r>
            <w:r w:rsidR="002356A0" w:rsidRPr="002356A0">
              <w:t>r</w:t>
            </w:r>
            <w:r w:rsidRPr="002356A0">
              <w:t xml:space="preserve">rell, </w:t>
            </w:r>
            <w:r w:rsidR="0095049B" w:rsidRPr="002356A0">
              <w:t xml:space="preserve">Church, Ford, </w:t>
            </w:r>
            <w:r w:rsidR="002356A0" w:rsidRPr="002356A0">
              <w:t>Litherland</w:t>
            </w:r>
            <w:r w:rsidR="0095049B" w:rsidRPr="002356A0">
              <w:t xml:space="preserve">, St </w:t>
            </w:r>
            <w:r w:rsidR="002356A0" w:rsidRPr="002356A0">
              <w:t>Oswald’s</w:t>
            </w:r>
            <w:r w:rsidR="0095049B" w:rsidRPr="002356A0">
              <w:t>, Derby and Linacre.</w:t>
            </w:r>
          </w:p>
          <w:p w14:paraId="6C8D836A" w14:textId="7F5A1FF0" w:rsidR="004E6082" w:rsidRPr="002356A0" w:rsidRDefault="004E6082" w:rsidP="008A6D05">
            <w:pPr>
              <w:rPr>
                <w:highlight w:val="yellow"/>
              </w:rPr>
            </w:pPr>
          </w:p>
        </w:tc>
      </w:tr>
      <w:tr w:rsidR="0031613A" w14:paraId="1FD5BA1B" w14:textId="77777777" w:rsidTr="2FAFE03E">
        <w:tc>
          <w:tcPr>
            <w:tcW w:w="10141" w:type="dxa"/>
            <w:shd w:val="clear" w:color="auto" w:fill="FFFFFF" w:themeFill="background1"/>
          </w:tcPr>
          <w:p w14:paraId="2E0563E3" w14:textId="41E8CEBD" w:rsidR="0031613A" w:rsidRPr="00A045A1" w:rsidRDefault="002C2F61" w:rsidP="005B6F95">
            <w:pPr>
              <w:rPr>
                <w:b/>
                <w:bCs/>
                <w:color w:val="FF0000"/>
              </w:rPr>
            </w:pPr>
            <w:r w:rsidRPr="00A045A1">
              <w:rPr>
                <w:b/>
                <w:bCs/>
              </w:rPr>
              <w:t>2.</w:t>
            </w:r>
            <w:r w:rsidR="0031613A" w:rsidRPr="00A045A1">
              <w:rPr>
                <w:b/>
                <w:bCs/>
              </w:rPr>
              <w:t xml:space="preserve"> Applicable Service Standards</w:t>
            </w:r>
          </w:p>
        </w:tc>
      </w:tr>
      <w:tr w:rsidR="0031613A" w14:paraId="6682B0D6" w14:textId="77777777" w:rsidTr="2FAFE03E">
        <w:tc>
          <w:tcPr>
            <w:tcW w:w="10141" w:type="dxa"/>
          </w:tcPr>
          <w:p w14:paraId="6D10BA82" w14:textId="77777777" w:rsidR="001F390D" w:rsidRDefault="001F390D" w:rsidP="005B6F95"/>
          <w:p w14:paraId="655171F3" w14:textId="500864D2" w:rsidR="0031613A" w:rsidRDefault="0031613A" w:rsidP="005B6F95">
            <w:r w:rsidRPr="000853F1">
              <w:t xml:space="preserve">It is essential </w:t>
            </w:r>
            <w:r>
              <w:t>the service follows national guidance and evidence based best practice, and ensures new guidance is implemented quickly and seamlessly.</w:t>
            </w:r>
          </w:p>
          <w:p w14:paraId="008D76CF" w14:textId="77777777" w:rsidR="0031613A" w:rsidRDefault="0031613A" w:rsidP="005B6F95">
            <w:r w:rsidRPr="000853F1">
              <w:t>Current guidance includes</w:t>
            </w:r>
            <w:r>
              <w:t>:</w:t>
            </w:r>
          </w:p>
          <w:p w14:paraId="4E139C85" w14:textId="77777777" w:rsidR="0031613A" w:rsidRDefault="0031613A" w:rsidP="005B6F95">
            <w:r>
              <w:t>The NHS Long Term Plan (2019)</w:t>
            </w:r>
          </w:p>
          <w:p w14:paraId="7EFAE2A3" w14:textId="49867460" w:rsidR="0031613A" w:rsidRDefault="0095049B" w:rsidP="005B6F95">
            <w:r>
              <w:t>Gov. document: Creating a Smokefree Generation and Tackling Youth Vaping. Updated April 2024</w:t>
            </w:r>
          </w:p>
          <w:p w14:paraId="79D59101" w14:textId="1F37528A" w:rsidR="0031613A" w:rsidRDefault="0031613A" w:rsidP="005B6F95">
            <w:r>
              <w:t xml:space="preserve">NICE guidance </w:t>
            </w:r>
            <w:r w:rsidR="007B4DE6">
              <w:t>PH 20</w:t>
            </w:r>
            <w:r w:rsidR="004E492D">
              <w:t xml:space="preserve">9. </w:t>
            </w:r>
            <w:r w:rsidR="0095049B">
              <w:t>Updated Feb. 2025</w:t>
            </w:r>
          </w:p>
          <w:p w14:paraId="181A25B7" w14:textId="5FE87D75" w:rsidR="004E492D" w:rsidRDefault="000F1E06" w:rsidP="004E492D">
            <w:r>
              <w:t>NCSCT Standard Treatment Prog</w:t>
            </w:r>
            <w:r w:rsidR="0054528F">
              <w:t>r</w:t>
            </w:r>
            <w:r>
              <w:t>amme</w:t>
            </w:r>
            <w:r w:rsidR="0031613A">
              <w:tab/>
            </w:r>
          </w:p>
          <w:p w14:paraId="1128D511" w14:textId="3DA845A0" w:rsidR="004E492D" w:rsidRPr="000853F1" w:rsidRDefault="004E492D" w:rsidP="004E492D"/>
        </w:tc>
      </w:tr>
      <w:tr w:rsidR="0031613A" w14:paraId="2AC42F82" w14:textId="77777777" w:rsidTr="2FAFE03E">
        <w:tc>
          <w:tcPr>
            <w:tcW w:w="10141" w:type="dxa"/>
            <w:shd w:val="clear" w:color="auto" w:fill="FFFFFF" w:themeFill="background1"/>
          </w:tcPr>
          <w:p w14:paraId="7F2432F7" w14:textId="3931BD8D" w:rsidR="0031613A" w:rsidRPr="00A045A1" w:rsidRDefault="002C2F61" w:rsidP="0031613A">
            <w:pPr>
              <w:rPr>
                <w:b/>
                <w:bCs/>
              </w:rPr>
            </w:pPr>
            <w:r w:rsidRPr="00A045A1">
              <w:rPr>
                <w:b/>
                <w:bCs/>
                <w:sz w:val="24"/>
                <w:szCs w:val="24"/>
              </w:rPr>
              <w:t>3.</w:t>
            </w:r>
            <w:r w:rsidR="0031613A" w:rsidRPr="00A045A1">
              <w:rPr>
                <w:b/>
                <w:bCs/>
                <w:sz w:val="24"/>
                <w:szCs w:val="24"/>
              </w:rPr>
              <w:t xml:space="preserve">Scope   </w:t>
            </w:r>
          </w:p>
        </w:tc>
      </w:tr>
      <w:tr w:rsidR="0031613A" w14:paraId="45246D87" w14:textId="77777777" w:rsidTr="2FAFE03E">
        <w:tc>
          <w:tcPr>
            <w:tcW w:w="10141" w:type="dxa"/>
          </w:tcPr>
          <w:p w14:paraId="150C1711" w14:textId="77777777" w:rsidR="0031613A" w:rsidRDefault="0031613A" w:rsidP="0031613A"/>
          <w:p w14:paraId="2AE232CC" w14:textId="5A4A62F2" w:rsidR="0031613A" w:rsidRPr="002F14EB" w:rsidRDefault="0031613A" w:rsidP="0031613A">
            <w:pPr>
              <w:rPr>
                <w:bCs/>
              </w:rPr>
            </w:pPr>
            <w:r w:rsidRPr="00B55DB0">
              <w:rPr>
                <w:b/>
                <w:sz w:val="24"/>
                <w:szCs w:val="24"/>
              </w:rPr>
              <w:t>Aims</w:t>
            </w:r>
            <w:r w:rsidR="002F14EB">
              <w:rPr>
                <w:b/>
                <w:sz w:val="24"/>
                <w:szCs w:val="24"/>
              </w:rPr>
              <w:t>:</w:t>
            </w:r>
          </w:p>
          <w:p w14:paraId="368590F4" w14:textId="67A1199E" w:rsidR="002F14EB" w:rsidRPr="002F14EB" w:rsidRDefault="002F14EB" w:rsidP="002F14EB">
            <w:pPr>
              <w:pStyle w:val="ListParagraph"/>
              <w:numPr>
                <w:ilvl w:val="0"/>
                <w:numId w:val="2"/>
              </w:numPr>
              <w:rPr>
                <w:bCs/>
              </w:rPr>
            </w:pPr>
            <w:r w:rsidRPr="002F14EB">
              <w:rPr>
                <w:bCs/>
              </w:rPr>
              <w:t>To contribute to reducing morbidity and mortality for smokers, and to reduce the health inequalities associated with the high rates of smoking</w:t>
            </w:r>
          </w:p>
          <w:p w14:paraId="42C39640" w14:textId="224B469B" w:rsidR="0031613A" w:rsidRDefault="0031613A" w:rsidP="0031613A">
            <w:pPr>
              <w:pStyle w:val="ListParagraph"/>
              <w:numPr>
                <w:ilvl w:val="0"/>
                <w:numId w:val="2"/>
              </w:numPr>
            </w:pPr>
            <w:r>
              <w:t xml:space="preserve">To improve access to Smoking Cessation Services by maintaining a </w:t>
            </w:r>
            <w:r w:rsidR="00A71098">
              <w:t>one-to-one</w:t>
            </w:r>
            <w:r>
              <w:t xml:space="preserve"> service within community pharmacies. This will ensure easy, </w:t>
            </w:r>
            <w:r w:rsidR="00F71485">
              <w:t>seamless,</w:t>
            </w:r>
            <w:r>
              <w:t xml:space="preserve"> and swift access to an advisor.</w:t>
            </w:r>
          </w:p>
          <w:p w14:paraId="588CE9C1" w14:textId="6B5EAE70" w:rsidR="00D418E1" w:rsidRDefault="00D418E1" w:rsidP="0031613A">
            <w:pPr>
              <w:pStyle w:val="ListParagraph"/>
              <w:numPr>
                <w:ilvl w:val="0"/>
                <w:numId w:val="2"/>
              </w:numPr>
            </w:pPr>
            <w:r>
              <w:t>For clients to have access to Nicotine Replacement Therapy via a voucher scheme</w:t>
            </w:r>
          </w:p>
          <w:p w14:paraId="7F80573A" w14:textId="0611F459" w:rsidR="0031613A" w:rsidRDefault="0031613A" w:rsidP="002F14EB">
            <w:pPr>
              <w:pStyle w:val="ListParagraph"/>
              <w:numPr>
                <w:ilvl w:val="0"/>
                <w:numId w:val="2"/>
              </w:numPr>
            </w:pPr>
            <w:r>
              <w:t xml:space="preserve">To contribute to </w:t>
            </w:r>
            <w:r w:rsidR="00D418E1">
              <w:t>Sefton`s</w:t>
            </w:r>
            <w:r>
              <w:t xml:space="preserve"> locally set Smoking Cessation targets.</w:t>
            </w:r>
          </w:p>
          <w:p w14:paraId="3363F657" w14:textId="7733BFBD" w:rsidR="0031613A" w:rsidRDefault="0031613A" w:rsidP="0031613A">
            <w:pPr>
              <w:pStyle w:val="ListParagraph"/>
              <w:numPr>
                <w:ilvl w:val="0"/>
                <w:numId w:val="2"/>
              </w:numPr>
            </w:pPr>
            <w:r>
              <w:lastRenderedPageBreak/>
              <w:t xml:space="preserve">To develop and sustain a high - quality Smoking Cessation Service in accordance </w:t>
            </w:r>
            <w:r w:rsidR="00A71098">
              <w:t>with</w:t>
            </w:r>
            <w:r>
              <w:t xml:space="preserve"> national standards and </w:t>
            </w:r>
            <w:r w:rsidR="00A71098">
              <w:t>guidance.</w:t>
            </w:r>
          </w:p>
          <w:p w14:paraId="50858E36" w14:textId="77777777" w:rsidR="0031613A" w:rsidRDefault="0031613A" w:rsidP="0031613A"/>
          <w:p w14:paraId="52BB5394" w14:textId="5FEE9F47" w:rsidR="009410EB" w:rsidRDefault="009410EB" w:rsidP="0031613A">
            <w:r>
              <w:t xml:space="preserve">Pharmacies have a choice in the provision of service they want to provide </w:t>
            </w:r>
            <w:r w:rsidR="002F14EB">
              <w:t>in line</w:t>
            </w:r>
            <w:r>
              <w:t xml:space="preserve"> </w:t>
            </w:r>
            <w:r w:rsidR="00A71098">
              <w:t>with</w:t>
            </w:r>
            <w:r>
              <w:t xml:space="preserve"> this SLA. This can be one option or a combination.</w:t>
            </w:r>
          </w:p>
          <w:p w14:paraId="04FCDC33" w14:textId="77777777" w:rsidR="001F390D" w:rsidRDefault="001F390D" w:rsidP="0031613A"/>
          <w:p w14:paraId="60CA36E1" w14:textId="1B2C8E9F" w:rsidR="009410EB" w:rsidRPr="00A26AB3" w:rsidRDefault="009410EB" w:rsidP="0031613A">
            <w:pPr>
              <w:rPr>
                <w:b/>
                <w:bCs/>
              </w:rPr>
            </w:pPr>
            <w:r w:rsidRPr="00A26AB3">
              <w:rPr>
                <w:b/>
                <w:bCs/>
              </w:rPr>
              <w:t>Option 1- Dispensing of NRT via a time-limited voucher</w:t>
            </w:r>
          </w:p>
          <w:p w14:paraId="17683584" w14:textId="6B8ADBF0" w:rsidR="009410EB" w:rsidRPr="00A26AB3" w:rsidRDefault="009410EB" w:rsidP="0031613A">
            <w:pPr>
              <w:rPr>
                <w:b/>
                <w:bCs/>
              </w:rPr>
            </w:pPr>
            <w:r w:rsidRPr="00A26AB3">
              <w:rPr>
                <w:b/>
                <w:bCs/>
              </w:rPr>
              <w:t>Option 2- The delivery of Level 2 Smoking Cessation intervention</w:t>
            </w:r>
          </w:p>
          <w:p w14:paraId="5C4D936C" w14:textId="77777777" w:rsidR="009410EB" w:rsidRDefault="009410EB" w:rsidP="0031613A"/>
          <w:p w14:paraId="012689BE" w14:textId="21BCD6AC" w:rsidR="009410EB" w:rsidRPr="00A26AB3" w:rsidRDefault="009410EB" w:rsidP="0031613A">
            <w:pPr>
              <w:rPr>
                <w:b/>
                <w:bCs/>
              </w:rPr>
            </w:pPr>
            <w:r w:rsidRPr="00A26AB3">
              <w:rPr>
                <w:b/>
                <w:bCs/>
              </w:rPr>
              <w:t xml:space="preserve">All community pharmacies will be enrolled in </w:t>
            </w:r>
            <w:r w:rsidR="00FD6575" w:rsidRPr="00A26AB3">
              <w:rPr>
                <w:b/>
                <w:bCs/>
              </w:rPr>
              <w:t>option 1 but must express an interest to provide either or both option</w:t>
            </w:r>
            <w:r w:rsidR="00190D1E">
              <w:rPr>
                <w:b/>
                <w:bCs/>
              </w:rPr>
              <w:t>s</w:t>
            </w:r>
            <w:r w:rsidR="00FD6575" w:rsidRPr="00A26AB3">
              <w:rPr>
                <w:b/>
                <w:bCs/>
              </w:rPr>
              <w:t xml:space="preserve"> </w:t>
            </w:r>
            <w:r w:rsidR="00190D1E">
              <w:rPr>
                <w:b/>
                <w:bCs/>
              </w:rPr>
              <w:t>1 and 2</w:t>
            </w:r>
            <w:r w:rsidR="007B4DE6">
              <w:rPr>
                <w:b/>
                <w:bCs/>
              </w:rPr>
              <w:t>.</w:t>
            </w:r>
          </w:p>
          <w:p w14:paraId="3BDDC03B" w14:textId="520411AA" w:rsidR="00FD6575" w:rsidRPr="000853F1" w:rsidRDefault="00FD6575" w:rsidP="0031613A"/>
        </w:tc>
      </w:tr>
      <w:tr w:rsidR="0031613A" w14:paraId="282C77D5" w14:textId="77777777" w:rsidTr="2FAFE03E">
        <w:tc>
          <w:tcPr>
            <w:tcW w:w="10141" w:type="dxa"/>
            <w:shd w:val="clear" w:color="auto" w:fill="FFFFFF" w:themeFill="background1"/>
          </w:tcPr>
          <w:p w14:paraId="5E8B7C4D" w14:textId="52CCF8DB" w:rsidR="0031613A" w:rsidRPr="00A045A1" w:rsidRDefault="00FD6575" w:rsidP="0031613A">
            <w:pPr>
              <w:tabs>
                <w:tab w:val="left" w:pos="1815"/>
              </w:tabs>
              <w:rPr>
                <w:b/>
                <w:bCs/>
              </w:rPr>
            </w:pPr>
            <w:r w:rsidRPr="00A045A1">
              <w:rPr>
                <w:b/>
                <w:bCs/>
              </w:rPr>
              <w:lastRenderedPageBreak/>
              <w:t>4. Option 1</w:t>
            </w:r>
            <w:r w:rsidR="00EB280C" w:rsidRPr="00A045A1">
              <w:rPr>
                <w:b/>
                <w:bCs/>
              </w:rPr>
              <w:t>:</w:t>
            </w:r>
            <w:r w:rsidRPr="00A045A1">
              <w:rPr>
                <w:b/>
                <w:bCs/>
              </w:rPr>
              <w:t xml:space="preserve"> The </w:t>
            </w:r>
            <w:r w:rsidR="00EB280C" w:rsidRPr="00A045A1">
              <w:rPr>
                <w:b/>
                <w:bCs/>
              </w:rPr>
              <w:t>Supply</w:t>
            </w:r>
            <w:r w:rsidRPr="00A045A1">
              <w:rPr>
                <w:b/>
                <w:bCs/>
              </w:rPr>
              <w:t xml:space="preserve"> of </w:t>
            </w:r>
            <w:r w:rsidR="00EB280C" w:rsidRPr="00A045A1">
              <w:rPr>
                <w:b/>
                <w:bCs/>
              </w:rPr>
              <w:t xml:space="preserve">Nicotine Replacement Therapy (NRT) </w:t>
            </w:r>
          </w:p>
        </w:tc>
      </w:tr>
      <w:tr w:rsidR="009410EB" w14:paraId="7105C227" w14:textId="77777777" w:rsidTr="2FAFE03E">
        <w:tc>
          <w:tcPr>
            <w:tcW w:w="10141" w:type="dxa"/>
          </w:tcPr>
          <w:p w14:paraId="4CB032FE" w14:textId="1C73CE7D" w:rsidR="009410EB" w:rsidRDefault="009410EB" w:rsidP="0031613A">
            <w:pPr>
              <w:tabs>
                <w:tab w:val="left" w:pos="1815"/>
              </w:tabs>
              <w:rPr>
                <w:color w:val="000000" w:themeColor="text1"/>
              </w:rPr>
            </w:pPr>
          </w:p>
          <w:p w14:paraId="329DF8A4" w14:textId="783193AA" w:rsidR="00CF65F2" w:rsidRDefault="5C17F528" w:rsidP="0031613A">
            <w:pPr>
              <w:tabs>
                <w:tab w:val="left" w:pos="1815"/>
              </w:tabs>
              <w:rPr>
                <w:color w:val="000000" w:themeColor="text1"/>
              </w:rPr>
            </w:pPr>
            <w:r w:rsidRPr="2090584F">
              <w:rPr>
                <w:color w:val="000000" w:themeColor="text1"/>
              </w:rPr>
              <w:t xml:space="preserve">During their consultation with a member of </w:t>
            </w:r>
            <w:r w:rsidR="181BFEC5" w:rsidRPr="2090584F">
              <w:rPr>
                <w:color w:val="000000" w:themeColor="text1"/>
              </w:rPr>
              <w:t>staff from Smokefree Sefton,</w:t>
            </w:r>
            <w:r w:rsidRPr="2090584F">
              <w:rPr>
                <w:color w:val="000000" w:themeColor="text1"/>
              </w:rPr>
              <w:t xml:space="preserve"> the client will be issued wi</w:t>
            </w:r>
            <w:r w:rsidR="0032055C" w:rsidRPr="2090584F">
              <w:rPr>
                <w:color w:val="000000" w:themeColor="text1"/>
              </w:rPr>
              <w:t>th a code, texted to their mobile telephone</w:t>
            </w:r>
            <w:r w:rsidR="0AADB602" w:rsidRPr="2090584F">
              <w:rPr>
                <w:color w:val="000000" w:themeColor="text1"/>
              </w:rPr>
              <w:t>.</w:t>
            </w:r>
            <w:r w:rsidR="1DC7C778" w:rsidRPr="2090584F">
              <w:rPr>
                <w:color w:val="000000" w:themeColor="text1"/>
              </w:rPr>
              <w:t xml:space="preserve"> </w:t>
            </w:r>
            <w:r w:rsidR="0032055C" w:rsidRPr="2090584F">
              <w:rPr>
                <w:color w:val="000000" w:themeColor="text1"/>
              </w:rPr>
              <w:t>The request for the NRT products will be sent electronically and securely by NHS net email to the</w:t>
            </w:r>
            <w:r w:rsidR="00060490">
              <w:rPr>
                <w:color w:val="000000" w:themeColor="text1"/>
              </w:rPr>
              <w:t xml:space="preserve"> premises</w:t>
            </w:r>
            <w:r w:rsidR="0032055C" w:rsidRPr="2090584F">
              <w:rPr>
                <w:color w:val="000000" w:themeColor="text1"/>
              </w:rPr>
              <w:t xml:space="preserve"> </w:t>
            </w:r>
            <w:r w:rsidR="0034321D">
              <w:rPr>
                <w:color w:val="000000" w:themeColor="text1"/>
              </w:rPr>
              <w:t xml:space="preserve">shared </w:t>
            </w:r>
            <w:r w:rsidR="0032055C" w:rsidRPr="2090584F">
              <w:rPr>
                <w:color w:val="000000" w:themeColor="text1"/>
              </w:rPr>
              <w:t>NHS net email</w:t>
            </w:r>
            <w:r w:rsidR="0034321D">
              <w:rPr>
                <w:color w:val="000000" w:themeColor="text1"/>
              </w:rPr>
              <w:t xml:space="preserve"> account</w:t>
            </w:r>
            <w:r w:rsidR="0032055C" w:rsidRPr="2090584F">
              <w:rPr>
                <w:color w:val="000000" w:themeColor="text1"/>
              </w:rPr>
              <w:t xml:space="preserve">. </w:t>
            </w:r>
            <w:r w:rsidR="71C4D8DA" w:rsidRPr="2090584F">
              <w:rPr>
                <w:color w:val="000000" w:themeColor="text1"/>
              </w:rPr>
              <w:t>A maximum of 2 different types of product</w:t>
            </w:r>
            <w:r w:rsidR="7228F5C0" w:rsidRPr="2090584F">
              <w:rPr>
                <w:color w:val="000000" w:themeColor="text1"/>
              </w:rPr>
              <w:t xml:space="preserve">s may be </w:t>
            </w:r>
            <w:r w:rsidR="4B03B89A" w:rsidRPr="2090584F">
              <w:rPr>
                <w:color w:val="000000" w:themeColor="text1"/>
              </w:rPr>
              <w:t>issued to individual clie</w:t>
            </w:r>
            <w:r w:rsidR="412EFD7F" w:rsidRPr="2090584F">
              <w:rPr>
                <w:color w:val="000000" w:themeColor="text1"/>
              </w:rPr>
              <w:t>nts</w:t>
            </w:r>
            <w:r w:rsidR="5D9B6AF9" w:rsidRPr="2090584F">
              <w:rPr>
                <w:color w:val="000000" w:themeColor="text1"/>
              </w:rPr>
              <w:t xml:space="preserve"> </w:t>
            </w:r>
            <w:r w:rsidR="412EFD7F" w:rsidRPr="2090584F">
              <w:rPr>
                <w:color w:val="000000" w:themeColor="text1"/>
              </w:rPr>
              <w:t xml:space="preserve">and issued </w:t>
            </w:r>
            <w:r w:rsidR="5D9B6AF9" w:rsidRPr="2090584F">
              <w:rPr>
                <w:color w:val="000000" w:themeColor="text1"/>
              </w:rPr>
              <w:t>on a weekly basis.</w:t>
            </w:r>
            <w:r w:rsidR="179B215A" w:rsidRPr="2090584F">
              <w:rPr>
                <w:color w:val="000000" w:themeColor="text1"/>
              </w:rPr>
              <w:t xml:space="preserve"> In most instances this should include 1 long acting NRT product (patches) and 1 shorter acting NRT product (nasal spray, oral spray, lozenge, gum</w:t>
            </w:r>
            <w:r w:rsidR="0032055C" w:rsidRPr="2090584F">
              <w:rPr>
                <w:color w:val="000000" w:themeColor="text1"/>
              </w:rPr>
              <w:t>,</w:t>
            </w:r>
            <w:r w:rsidR="179B215A" w:rsidRPr="2090584F">
              <w:rPr>
                <w:color w:val="000000" w:themeColor="text1"/>
              </w:rPr>
              <w:t xml:space="preserve"> inhalator</w:t>
            </w:r>
            <w:r w:rsidR="0032055C" w:rsidRPr="2090584F">
              <w:rPr>
                <w:color w:val="000000" w:themeColor="text1"/>
              </w:rPr>
              <w:t xml:space="preserve"> or micro-tab</w:t>
            </w:r>
            <w:r w:rsidR="179B215A" w:rsidRPr="2090584F">
              <w:rPr>
                <w:color w:val="000000" w:themeColor="text1"/>
              </w:rPr>
              <w:t>)</w:t>
            </w:r>
            <w:r w:rsidR="126D94DD" w:rsidRPr="2090584F">
              <w:rPr>
                <w:color w:val="000000" w:themeColor="text1"/>
              </w:rPr>
              <w:t xml:space="preserve"> but single products can also be issued  I</w:t>
            </w:r>
            <w:r w:rsidR="5D9B6AF9" w:rsidRPr="2090584F">
              <w:rPr>
                <w:color w:val="000000" w:themeColor="text1"/>
              </w:rPr>
              <w:t xml:space="preserve">n circumstances where a client is unable to </w:t>
            </w:r>
            <w:r w:rsidR="5943CF36" w:rsidRPr="2090584F">
              <w:rPr>
                <w:color w:val="000000" w:themeColor="text1"/>
              </w:rPr>
              <w:t>access the service weekly, for example holidays, they can be issued with a 2</w:t>
            </w:r>
            <w:r w:rsidR="246ABD2C" w:rsidRPr="2090584F">
              <w:rPr>
                <w:color w:val="000000" w:themeColor="text1"/>
              </w:rPr>
              <w:t xml:space="preserve"> -</w:t>
            </w:r>
            <w:r w:rsidR="5943CF36" w:rsidRPr="2090584F">
              <w:rPr>
                <w:color w:val="000000" w:themeColor="text1"/>
              </w:rPr>
              <w:t xml:space="preserve"> weekly supply</w:t>
            </w:r>
            <w:r w:rsidR="393E8D84" w:rsidRPr="2090584F">
              <w:rPr>
                <w:color w:val="000000" w:themeColor="text1"/>
              </w:rPr>
              <w:t>.</w:t>
            </w:r>
            <w:r w:rsidR="0AADB602" w:rsidRPr="2090584F">
              <w:rPr>
                <w:color w:val="000000" w:themeColor="text1"/>
              </w:rPr>
              <w:t xml:space="preserve"> This must be recorded by the pharmacist on </w:t>
            </w:r>
            <w:proofErr w:type="spellStart"/>
            <w:r w:rsidR="6645DB8C" w:rsidRPr="2090584F">
              <w:rPr>
                <w:color w:val="000000" w:themeColor="text1"/>
              </w:rPr>
              <w:t>PharmOutcomes</w:t>
            </w:r>
            <w:proofErr w:type="spellEnd"/>
            <w:r w:rsidR="0AADB602" w:rsidRPr="2090584F">
              <w:rPr>
                <w:color w:val="000000" w:themeColor="text1"/>
              </w:rPr>
              <w:t xml:space="preserve"> and will be reimbursed based on the current NHS Tariff price of pharmacotherapies along with the NRT supply tariff as stated in</w:t>
            </w:r>
            <w:r w:rsidR="4A79AD31" w:rsidRPr="2090584F">
              <w:rPr>
                <w:color w:val="000000" w:themeColor="text1"/>
              </w:rPr>
              <w:t xml:space="preserve"> </w:t>
            </w:r>
            <w:r w:rsidR="4A79AD31" w:rsidRPr="2090584F">
              <w:rPr>
                <w:b/>
                <w:bCs/>
                <w:color w:val="000000" w:themeColor="text1"/>
              </w:rPr>
              <w:t>section 1</w:t>
            </w:r>
            <w:r w:rsidR="3A208DA8" w:rsidRPr="2090584F">
              <w:rPr>
                <w:b/>
                <w:bCs/>
                <w:color w:val="000000" w:themeColor="text1"/>
              </w:rPr>
              <w:t>3</w:t>
            </w:r>
            <w:r w:rsidR="4A79AD31" w:rsidRPr="2090584F">
              <w:rPr>
                <w:color w:val="000000" w:themeColor="text1"/>
              </w:rPr>
              <w:t>.</w:t>
            </w:r>
          </w:p>
          <w:p w14:paraId="1E7B089A" w14:textId="6D5422DC" w:rsidR="009410EB" w:rsidRDefault="009410EB" w:rsidP="0031613A">
            <w:pPr>
              <w:tabs>
                <w:tab w:val="left" w:pos="1815"/>
              </w:tabs>
              <w:rPr>
                <w:color w:val="000000" w:themeColor="text1"/>
              </w:rPr>
            </w:pPr>
          </w:p>
        </w:tc>
      </w:tr>
      <w:tr w:rsidR="00894250" w14:paraId="74DC9300" w14:textId="77777777" w:rsidTr="2FAFE03E">
        <w:tc>
          <w:tcPr>
            <w:tcW w:w="10141" w:type="dxa"/>
            <w:shd w:val="clear" w:color="auto" w:fill="FFFFFF" w:themeFill="background1"/>
          </w:tcPr>
          <w:p w14:paraId="6FF06842" w14:textId="6D5EB9B5" w:rsidR="00894250" w:rsidRPr="00A045A1" w:rsidRDefault="00894250" w:rsidP="0031613A">
            <w:pPr>
              <w:tabs>
                <w:tab w:val="left" w:pos="1815"/>
              </w:tabs>
              <w:rPr>
                <w:b/>
                <w:bCs/>
                <w:color w:val="000000" w:themeColor="text1"/>
              </w:rPr>
            </w:pPr>
            <w:r w:rsidRPr="00A045A1">
              <w:rPr>
                <w:b/>
                <w:bCs/>
                <w:color w:val="000000" w:themeColor="text1"/>
              </w:rPr>
              <w:t xml:space="preserve">5. Option 2: </w:t>
            </w:r>
            <w:r w:rsidR="00146D4C" w:rsidRPr="00A045A1">
              <w:rPr>
                <w:b/>
                <w:bCs/>
                <w:color w:val="000000" w:themeColor="text1"/>
              </w:rPr>
              <w:t>Tier 2 Delivery of Smoking Cessation Services. – Service description</w:t>
            </w:r>
          </w:p>
        </w:tc>
      </w:tr>
      <w:tr w:rsidR="00894250" w14:paraId="534DD645" w14:textId="77777777" w:rsidTr="2FAFE03E">
        <w:tc>
          <w:tcPr>
            <w:tcW w:w="10141" w:type="dxa"/>
          </w:tcPr>
          <w:p w14:paraId="2207E839" w14:textId="77777777" w:rsidR="00146D4C" w:rsidRDefault="00146D4C" w:rsidP="00146D4C"/>
          <w:p w14:paraId="7FD1CFDA" w14:textId="4C59EF84" w:rsidR="00146D4C" w:rsidRDefault="00146D4C" w:rsidP="00146D4C">
            <w:r>
              <w:t>The Stop Smoking Service should be seen in the same way as any other clinical service and offered to anyone who expresses an interest in stopping smoking</w:t>
            </w:r>
            <w:r w:rsidR="00CD64D0">
              <w:t xml:space="preserve"> and wh</w:t>
            </w:r>
            <w:r w:rsidR="00060490">
              <w:t>o lives or works in Sefton or is r</w:t>
            </w:r>
            <w:r w:rsidR="00CD64D0">
              <w:t>egistered with a Sefton GP.</w:t>
            </w:r>
          </w:p>
          <w:p w14:paraId="2F1FDAF4" w14:textId="77777777" w:rsidR="00146D4C" w:rsidRDefault="00146D4C" w:rsidP="00146D4C"/>
          <w:p w14:paraId="741F86BF" w14:textId="77777777" w:rsidR="00146D4C" w:rsidRDefault="00146D4C" w:rsidP="00146D4C">
            <w:r>
              <w:t>If the pharmacy advisor provides behavioural support, they must adhere to the following guidance:</w:t>
            </w:r>
          </w:p>
          <w:p w14:paraId="49D30F70" w14:textId="533C3D92" w:rsidR="2A658EED" w:rsidRDefault="2A658EED" w:rsidP="2A658EED"/>
          <w:p w14:paraId="7BFC5423" w14:textId="61DE7176" w:rsidR="00B64000" w:rsidRDefault="00B64000" w:rsidP="00301E29">
            <w:pPr>
              <w:spacing w:line="256" w:lineRule="auto"/>
            </w:pPr>
            <w:r>
              <w:t xml:space="preserve">All weekly treatment sessions must adhere to the guidance set by the National Centre for Smoking Cessation </w:t>
            </w:r>
            <w:r w:rsidR="00301E29">
              <w:t xml:space="preserve">  </w:t>
            </w:r>
            <w:r>
              <w:t xml:space="preserve">and Training (NCSCT) Standard Treatment Programme. </w:t>
            </w:r>
          </w:p>
          <w:p w14:paraId="4233E64E" w14:textId="77777777" w:rsidR="00301E29" w:rsidRDefault="00301E29" w:rsidP="00A71098">
            <w:hyperlink r:id="rId11" w:history="1">
              <w:r w:rsidRPr="00031EDC">
                <w:rPr>
                  <w:rStyle w:val="Hyperlink"/>
                </w:rPr>
                <w:t>www.ncsct.co.uk/usr/pdf/Standard%20Treatment%20Programmepdf</w:t>
              </w:r>
            </w:hyperlink>
          </w:p>
          <w:p w14:paraId="27EF79CB" w14:textId="5C17097D" w:rsidR="00A71098" w:rsidRDefault="00B64000" w:rsidP="00A71098">
            <w:r>
              <w:t>This document outlines the length and content of each session. A payment will be paid for each</w:t>
            </w:r>
            <w:r w:rsidR="00A71098">
              <w:t xml:space="preserve">         </w:t>
            </w:r>
          </w:p>
          <w:p w14:paraId="6D00BE69" w14:textId="27095E08" w:rsidR="00A71098" w:rsidRDefault="00A71098" w:rsidP="00A71098">
            <w:r>
              <w:t>motivated client setting a quit date. (See section 1</w:t>
            </w:r>
            <w:r w:rsidR="008D489A">
              <w:t>3</w:t>
            </w:r>
            <w:r>
              <w:t>)</w:t>
            </w:r>
          </w:p>
          <w:p w14:paraId="599BD32A" w14:textId="5095A473" w:rsidR="00A71098" w:rsidRDefault="00A71098" w:rsidP="00A71098"/>
          <w:p w14:paraId="788151DB" w14:textId="2C8145FF" w:rsidR="00146D4C" w:rsidRDefault="00146D4C" w:rsidP="00A71098">
            <w:r>
              <w:t>The pharmacy must provide a private consultation area in line with the Pharmacy National contract.</w:t>
            </w:r>
          </w:p>
          <w:p w14:paraId="17BEE3BF" w14:textId="4F552D11" w:rsidR="00146D4C" w:rsidRDefault="00146D4C" w:rsidP="00B64000">
            <w:pPr>
              <w:pStyle w:val="ListParagraph"/>
              <w:numPr>
                <w:ilvl w:val="0"/>
                <w:numId w:val="3"/>
              </w:numPr>
              <w:spacing w:line="256" w:lineRule="auto"/>
            </w:pPr>
            <w:r>
              <w:t xml:space="preserve">Each consultation should be able to be conducted without being interrupted. The service will consist of up to a </w:t>
            </w:r>
            <w:r w:rsidRPr="00B64000">
              <w:rPr>
                <w:b/>
              </w:rPr>
              <w:t>minimum</w:t>
            </w:r>
            <w:r>
              <w:t xml:space="preserve"> of</w:t>
            </w:r>
            <w:r w:rsidRPr="00B64000">
              <w:rPr>
                <w:color w:val="FF0000"/>
              </w:rPr>
              <w:t xml:space="preserve"> </w:t>
            </w:r>
            <w:r w:rsidRPr="00B64000">
              <w:rPr>
                <w:b/>
              </w:rPr>
              <w:t>8</w:t>
            </w:r>
            <w:r>
              <w:t xml:space="preserve"> consultations with the practitioner to a </w:t>
            </w:r>
            <w:r w:rsidRPr="00B64000">
              <w:rPr>
                <w:b/>
              </w:rPr>
              <w:t>maximum</w:t>
            </w:r>
            <w:r>
              <w:t xml:space="preserve"> of </w:t>
            </w:r>
            <w:r w:rsidRPr="00B64000">
              <w:rPr>
                <w:b/>
              </w:rPr>
              <w:t>12</w:t>
            </w:r>
            <w:r>
              <w:t xml:space="preserve"> weeks. If a client requires support beyond 12- </w:t>
            </w:r>
            <w:r w:rsidR="00420DB8">
              <w:t>weeks,</w:t>
            </w:r>
            <w:r>
              <w:t xml:space="preserve"> they should be referred to Smokefree Sefton.</w:t>
            </w:r>
          </w:p>
          <w:p w14:paraId="1133CC0A" w14:textId="31467E3C" w:rsidR="00146D4C" w:rsidRDefault="1518F0DC" w:rsidP="00146D4C">
            <w:pPr>
              <w:pStyle w:val="ListParagraph"/>
              <w:numPr>
                <w:ilvl w:val="0"/>
                <w:numId w:val="3"/>
              </w:numPr>
              <w:spacing w:line="256" w:lineRule="auto"/>
            </w:pPr>
            <w:r>
              <w:t xml:space="preserve"> This must include the recording of accurate CO validation of smoking status at every visit and a comprehensive account of the consultation content documented on </w:t>
            </w:r>
            <w:proofErr w:type="spellStart"/>
            <w:r w:rsidR="28410643">
              <w:t>P</w:t>
            </w:r>
            <w:r>
              <w:t>harm</w:t>
            </w:r>
            <w:r w:rsidR="28410643">
              <w:t>O</w:t>
            </w:r>
            <w:r>
              <w:t>utcomes</w:t>
            </w:r>
            <w:proofErr w:type="spellEnd"/>
            <w:r>
              <w:t>. Only in exceptional circumstances, and in line with national guidance should this be paused, in circumstances, for example a pandemic.</w:t>
            </w:r>
          </w:p>
          <w:p w14:paraId="0B275136" w14:textId="1024B20C" w:rsidR="00146D4C" w:rsidRDefault="1518F0DC" w:rsidP="00146D4C">
            <w:pPr>
              <w:pStyle w:val="ListParagraph"/>
              <w:numPr>
                <w:ilvl w:val="0"/>
                <w:numId w:val="3"/>
              </w:numPr>
              <w:spacing w:line="256" w:lineRule="auto"/>
            </w:pPr>
            <w:r>
              <w:lastRenderedPageBreak/>
              <w:t xml:space="preserve"> Any client who fails to attend a session must be followed up and encouraged to continue the programme. </w:t>
            </w:r>
            <w:r w:rsidR="74A4F567">
              <w:t xml:space="preserve">Three attempts should be made </w:t>
            </w:r>
            <w:r w:rsidR="38757851">
              <w:t xml:space="preserve">to contact the client </w:t>
            </w:r>
            <w:r w:rsidR="00060490">
              <w:t>at different</w:t>
            </w:r>
            <w:r w:rsidR="23D41E1D">
              <w:t xml:space="preserve"> times/ days</w:t>
            </w:r>
            <w:r w:rsidR="25B4EDFC">
              <w:t xml:space="preserve"> </w:t>
            </w:r>
            <w:r w:rsidR="5D2D045C">
              <w:t xml:space="preserve">over at </w:t>
            </w:r>
            <w:proofErr w:type="gramStart"/>
            <w:r w:rsidR="00060490">
              <w:t>least</w:t>
            </w:r>
            <w:r w:rsidR="5D2D045C">
              <w:t xml:space="preserve"> </w:t>
            </w:r>
            <w:r w:rsidR="00060490">
              <w:t xml:space="preserve"> </w:t>
            </w:r>
            <w:r w:rsidR="5D2D045C">
              <w:t>a</w:t>
            </w:r>
            <w:proofErr w:type="gramEnd"/>
            <w:r w:rsidR="5D2D045C">
              <w:t xml:space="preserve"> </w:t>
            </w:r>
            <w:proofErr w:type="gramStart"/>
            <w:r w:rsidR="5D2D045C">
              <w:t>2 week</w:t>
            </w:r>
            <w:proofErr w:type="gramEnd"/>
            <w:r w:rsidR="5D2D045C">
              <w:t xml:space="preserve"> period.  </w:t>
            </w:r>
            <w:r w:rsidR="25B4EDFC">
              <w:t>If</w:t>
            </w:r>
            <w:r>
              <w:t xml:space="preserve"> the client does not want to continue the reason should be </w:t>
            </w:r>
            <w:r w:rsidR="49CFC6A9">
              <w:t>recorded,</w:t>
            </w:r>
            <w:r>
              <w:t xml:space="preserve"> and the </w:t>
            </w:r>
            <w:r w:rsidR="181BFEC5">
              <w:t>client’s</w:t>
            </w:r>
            <w:r>
              <w:t xml:space="preserve"> smoking status confirmed.</w:t>
            </w:r>
            <w:r w:rsidR="75E460ED">
              <w:t xml:space="preserve"> </w:t>
            </w:r>
          </w:p>
          <w:p w14:paraId="7E633338" w14:textId="77777777" w:rsidR="00146D4C" w:rsidRDefault="00146D4C" w:rsidP="00146D4C">
            <w:pPr>
              <w:pStyle w:val="ListParagraph"/>
              <w:numPr>
                <w:ilvl w:val="0"/>
                <w:numId w:val="3"/>
              </w:numPr>
              <w:spacing w:line="256" w:lineRule="auto"/>
            </w:pPr>
            <w:r>
              <w:t xml:space="preserve"> The service should be advertised in the pharmacy by prominently displaying posters and leaflets supplied by Smokefree Sefton.</w:t>
            </w:r>
          </w:p>
          <w:p w14:paraId="3EB0EACC" w14:textId="1A93EFE3" w:rsidR="00146D4C" w:rsidRDefault="1518F0DC" w:rsidP="00146D4C">
            <w:pPr>
              <w:pStyle w:val="ListParagraph"/>
              <w:numPr>
                <w:ilvl w:val="0"/>
                <w:numId w:val="3"/>
              </w:numPr>
              <w:spacing w:line="256" w:lineRule="auto"/>
            </w:pPr>
            <w:r>
              <w:t>Where a client cannot be supported by the pharmacy,</w:t>
            </w:r>
            <w:r w:rsidR="3A0A896D">
              <w:t xml:space="preserve"> due to complexities or requests for medications, </w:t>
            </w:r>
            <w:r>
              <w:t>the client must be referred directly to Smokefree Sefton.</w:t>
            </w:r>
          </w:p>
          <w:p w14:paraId="242C6CE7" w14:textId="02CC4E2D" w:rsidR="00146D4C" w:rsidRDefault="00146D4C" w:rsidP="00146D4C">
            <w:pPr>
              <w:pStyle w:val="ListParagraph"/>
              <w:numPr>
                <w:ilvl w:val="0"/>
                <w:numId w:val="3"/>
              </w:numPr>
              <w:spacing w:line="256" w:lineRule="auto"/>
            </w:pPr>
            <w:r>
              <w:t>Pregnant women should be referred to Smokefree Sefton for intensive support throughout their pregnan</w:t>
            </w:r>
            <w:r w:rsidR="00301E29">
              <w:t>cy and up to 3 months post-partum in line with NICE NG 209</w:t>
            </w:r>
          </w:p>
          <w:p w14:paraId="575A96C2" w14:textId="5509DAEB" w:rsidR="00146D4C" w:rsidRDefault="1518F0DC" w:rsidP="00146D4C">
            <w:pPr>
              <w:pStyle w:val="ListParagraph"/>
              <w:numPr>
                <w:ilvl w:val="0"/>
                <w:numId w:val="3"/>
              </w:numPr>
              <w:spacing w:line="256" w:lineRule="auto"/>
            </w:pPr>
            <w:r>
              <w:t>Any client who has not stopped smoking at their</w:t>
            </w:r>
            <w:r w:rsidRPr="2090584F">
              <w:rPr>
                <w:b/>
                <w:bCs/>
              </w:rPr>
              <w:t xml:space="preserve"> 2nd</w:t>
            </w:r>
            <w:r>
              <w:t xml:space="preserve"> weekly follow up must be reassessed for their motivation to quit and a realistic quit date set. The `not one puff` rule must be emphasised. (NCSCT guidance)</w:t>
            </w:r>
            <w:r w:rsidR="303DDA29">
              <w:t xml:space="preserve">.  Quit dates should not be changed more than once during each attempt.  </w:t>
            </w:r>
          </w:p>
          <w:p w14:paraId="49567D33" w14:textId="0CC5BDDB" w:rsidR="00146D4C" w:rsidRDefault="1518F0DC" w:rsidP="00146D4C">
            <w:pPr>
              <w:pStyle w:val="ListParagraph"/>
              <w:numPr>
                <w:ilvl w:val="0"/>
                <w:numId w:val="3"/>
              </w:numPr>
              <w:spacing w:line="256" w:lineRule="auto"/>
            </w:pPr>
            <w:r>
              <w:t xml:space="preserve">Pharmacies may provide behavioural support to clients who are using </w:t>
            </w:r>
            <w:r w:rsidR="088D0FB2">
              <w:t xml:space="preserve">their own </w:t>
            </w:r>
            <w:r w:rsidR="181BFEC5">
              <w:t>vape</w:t>
            </w:r>
            <w:r>
              <w:t>s to support their quit</w:t>
            </w:r>
            <w:r w:rsidR="7738CC3D">
              <w:t xml:space="preserve">. </w:t>
            </w:r>
            <w:r w:rsidR="181BFEC5">
              <w:t xml:space="preserve">High dose </w:t>
            </w:r>
            <w:r w:rsidR="4CF9F5CF">
              <w:t>N</w:t>
            </w:r>
            <w:r w:rsidR="181BFEC5">
              <w:t>RT patch</w:t>
            </w:r>
            <w:r w:rsidR="4542C963">
              <w:t xml:space="preserve"> can be issued for 4 weeks for </w:t>
            </w:r>
            <w:r w:rsidR="006C0FC6">
              <w:t xml:space="preserve">those </w:t>
            </w:r>
            <w:r w:rsidR="4542C963">
              <w:t>clients w</w:t>
            </w:r>
            <w:r w:rsidR="006C0FC6">
              <w:t xml:space="preserve">ith a high nicotine dependency </w:t>
            </w:r>
            <w:r w:rsidR="00630BB0">
              <w:t xml:space="preserve">(previously smoking 40+ per day) </w:t>
            </w:r>
            <w:proofErr w:type="gramStart"/>
            <w:r w:rsidR="21C8FBEE">
              <w:t>in order to</w:t>
            </w:r>
            <w:proofErr w:type="gramEnd"/>
            <w:r w:rsidR="21C8FBEE">
              <w:t xml:space="preserve"> </w:t>
            </w:r>
            <w:r w:rsidR="281DE93D">
              <w:t xml:space="preserve">support those using </w:t>
            </w:r>
            <w:r w:rsidR="687F0D9B">
              <w:t>their own vape</w:t>
            </w:r>
            <w:r w:rsidR="004B02ED">
              <w:t xml:space="preserve"> to </w:t>
            </w:r>
            <w:r w:rsidR="00630BB0">
              <w:t>quit.</w:t>
            </w:r>
            <w:r w:rsidR="37E15D45">
              <w:t xml:space="preserve"> </w:t>
            </w:r>
            <w:r w:rsidR="2DAE62CB">
              <w:t xml:space="preserve">It must be clearly documented within notes on </w:t>
            </w:r>
            <w:proofErr w:type="spellStart"/>
            <w:r w:rsidR="2DAE62CB">
              <w:t>pharm</w:t>
            </w:r>
            <w:r w:rsidR="547E2A05">
              <w:t>Outcomes</w:t>
            </w:r>
            <w:proofErr w:type="spellEnd"/>
            <w:r w:rsidR="547E2A05">
              <w:t xml:space="preserve"> </w:t>
            </w:r>
            <w:r w:rsidR="2DAE62CB">
              <w:t xml:space="preserve">if a client is using a purchased vape to support their quit attempt.  </w:t>
            </w:r>
          </w:p>
          <w:p w14:paraId="160DD683" w14:textId="10EEE23D" w:rsidR="00146D4C" w:rsidRDefault="00146D4C" w:rsidP="00146D4C">
            <w:pPr>
              <w:pStyle w:val="ListParagraph"/>
              <w:numPr>
                <w:ilvl w:val="0"/>
                <w:numId w:val="3"/>
              </w:numPr>
              <w:spacing w:line="256" w:lineRule="auto"/>
            </w:pPr>
            <w:r>
              <w:t>To ensure robust service validity and infection control Smokefree Sefton CO monitor protocol must be adhered to.</w:t>
            </w:r>
            <w:r w:rsidR="00ED1832">
              <w:t xml:space="preserve"> </w:t>
            </w:r>
            <w:r w:rsidR="00ED1832" w:rsidRPr="009469E1">
              <w:rPr>
                <w:b/>
                <w:bCs/>
              </w:rPr>
              <w:t>(See appendix 3)</w:t>
            </w:r>
          </w:p>
          <w:p w14:paraId="2BEB0FEC" w14:textId="35F7E5A9" w:rsidR="00146D4C" w:rsidRDefault="1518F0DC" w:rsidP="00146D4C">
            <w:pPr>
              <w:pStyle w:val="ListParagraph"/>
              <w:numPr>
                <w:ilvl w:val="0"/>
                <w:numId w:val="3"/>
              </w:numPr>
              <w:spacing w:line="256" w:lineRule="auto"/>
            </w:pPr>
            <w:r>
              <w:t xml:space="preserve">An advisor who is planning a period of leave must not start a new client on a Stop Smoking programme unless there is another qualified advisor </w:t>
            </w:r>
            <w:r w:rsidR="49D059D3">
              <w:t xml:space="preserve">in the pharmacy </w:t>
            </w:r>
            <w:r>
              <w:t>to support the client in their absence.</w:t>
            </w:r>
            <w:r w:rsidR="49D059D3">
              <w:t xml:space="preserve"> </w:t>
            </w:r>
            <w:r w:rsidR="3994DA83">
              <w:t xml:space="preserve"> </w:t>
            </w:r>
            <w:r w:rsidR="49D059D3">
              <w:t>If the client</w:t>
            </w:r>
            <w:r w:rsidR="2FFB98AD">
              <w:t xml:space="preserve"> </w:t>
            </w:r>
            <w:r w:rsidR="49D059D3">
              <w:t>chooses to be supported in a pharmacy th</w:t>
            </w:r>
            <w:r w:rsidR="3C61F822">
              <w:t xml:space="preserve">e </w:t>
            </w:r>
            <w:r w:rsidR="5B783359">
              <w:t xml:space="preserve">pharmacy should contact the client prior to planned appointments.  </w:t>
            </w:r>
            <w:r>
              <w:t>In circumstances</w:t>
            </w:r>
            <w:r w:rsidR="4F53CDC0">
              <w:t xml:space="preserve"> such as staff unplanned absence</w:t>
            </w:r>
            <w:r>
              <w:t>, the client should be referred to Smokefree Sefton</w:t>
            </w:r>
            <w:r w:rsidR="4F53CDC0">
              <w:t xml:space="preserve"> for follow up support. A quit attempt should also not be started with a client immediately prior to planned events such as holidays where they will not be able to engage with the service during the most important time of the quit attempt.</w:t>
            </w:r>
            <w:r w:rsidR="1C8CBA3E">
              <w:t xml:space="preserve"> In this instance, clients should be booked in for an appointment on their return or signposted to Smokefree Sefton. </w:t>
            </w:r>
          </w:p>
          <w:p w14:paraId="559BB2D0" w14:textId="4BAE6243" w:rsidR="00146D4C" w:rsidRDefault="00146D4C" w:rsidP="009469E1">
            <w:pPr>
              <w:pStyle w:val="ListParagraph"/>
              <w:numPr>
                <w:ilvl w:val="0"/>
                <w:numId w:val="3"/>
              </w:numPr>
              <w:spacing w:line="256" w:lineRule="auto"/>
            </w:pPr>
            <w:r>
              <w:t xml:space="preserve">When a client has completed an episode of care (a quit attempt) the advisor must update the client records on </w:t>
            </w:r>
            <w:proofErr w:type="spellStart"/>
            <w:r w:rsidR="00013F98">
              <w:t>P</w:t>
            </w:r>
            <w:r>
              <w:t>harm</w:t>
            </w:r>
            <w:r w:rsidR="00013F98">
              <w:t>O</w:t>
            </w:r>
            <w:r>
              <w:t>utcomes</w:t>
            </w:r>
            <w:proofErr w:type="spellEnd"/>
            <w:r w:rsidR="00301E29">
              <w:t xml:space="preserve"> as soon as possible.</w:t>
            </w:r>
          </w:p>
          <w:p w14:paraId="5127BA7D" w14:textId="3C6041C0" w:rsidR="00146D4C" w:rsidRDefault="00146D4C" w:rsidP="00146D4C">
            <w:pPr>
              <w:spacing w:line="256" w:lineRule="auto"/>
            </w:pPr>
            <w:r>
              <w:t xml:space="preserve">Payment for this service is indicated in </w:t>
            </w:r>
            <w:r w:rsidRPr="007A78F7">
              <w:rPr>
                <w:b/>
                <w:bCs/>
              </w:rPr>
              <w:t xml:space="preserve">section </w:t>
            </w:r>
            <w:r w:rsidR="00420DB8" w:rsidRPr="007A78F7">
              <w:rPr>
                <w:b/>
                <w:bCs/>
              </w:rPr>
              <w:t>1</w:t>
            </w:r>
            <w:r w:rsidR="008D489A">
              <w:rPr>
                <w:b/>
                <w:bCs/>
              </w:rPr>
              <w:t>3</w:t>
            </w:r>
            <w:r w:rsidR="00420DB8" w:rsidRPr="007A78F7">
              <w:rPr>
                <w:b/>
                <w:bCs/>
              </w:rPr>
              <w:t>.</w:t>
            </w:r>
          </w:p>
          <w:p w14:paraId="7C2A40F2" w14:textId="2E0B6206" w:rsidR="00146D4C" w:rsidRDefault="00146D4C" w:rsidP="00146D4C">
            <w:r>
              <w:t>Stop Smoking Service should be seen in the same way as any other clinical service and offered to anyone who expresses an interest in stopping smoking</w:t>
            </w:r>
            <w:r w:rsidR="00190D1E">
              <w:t xml:space="preserve"> and who lives or is registered with a Sefton GP.</w:t>
            </w:r>
          </w:p>
          <w:p w14:paraId="58DDE2AC" w14:textId="51A986CB" w:rsidR="00894250" w:rsidRPr="00146D4C" w:rsidRDefault="00894250" w:rsidP="00146D4C">
            <w:pPr>
              <w:spacing w:line="256" w:lineRule="auto"/>
              <w:rPr>
                <w:color w:val="000000" w:themeColor="text1"/>
              </w:rPr>
            </w:pPr>
          </w:p>
        </w:tc>
      </w:tr>
      <w:tr w:rsidR="004A0539" w14:paraId="273BF62C" w14:textId="77777777" w:rsidTr="2FAFE03E">
        <w:tc>
          <w:tcPr>
            <w:tcW w:w="10141" w:type="dxa"/>
            <w:shd w:val="clear" w:color="auto" w:fill="FFFFFF" w:themeFill="background1"/>
          </w:tcPr>
          <w:p w14:paraId="4EC6446D" w14:textId="2BB095F1" w:rsidR="004A0539" w:rsidRPr="00A045A1" w:rsidRDefault="00A97D9D" w:rsidP="0031613A">
            <w:pPr>
              <w:rPr>
                <w:b/>
                <w:bCs/>
              </w:rPr>
            </w:pPr>
            <w:r w:rsidRPr="00A045A1">
              <w:rPr>
                <w:b/>
                <w:bCs/>
              </w:rPr>
              <w:lastRenderedPageBreak/>
              <w:t>6</w:t>
            </w:r>
            <w:r w:rsidR="00F73345" w:rsidRPr="00A045A1">
              <w:rPr>
                <w:b/>
                <w:bCs/>
              </w:rPr>
              <w:t>.</w:t>
            </w:r>
            <w:r w:rsidR="002C2F61" w:rsidRPr="00A045A1">
              <w:rPr>
                <w:b/>
                <w:bCs/>
              </w:rPr>
              <w:t xml:space="preserve">1 </w:t>
            </w:r>
            <w:r w:rsidR="004A0539" w:rsidRPr="00A045A1">
              <w:rPr>
                <w:b/>
                <w:bCs/>
              </w:rPr>
              <w:t>Client follow up</w:t>
            </w:r>
            <w:r w:rsidR="00E02BE6" w:rsidRPr="00A045A1">
              <w:rPr>
                <w:b/>
                <w:bCs/>
              </w:rPr>
              <w:t xml:space="preserve"> (Option 2)</w:t>
            </w:r>
          </w:p>
        </w:tc>
      </w:tr>
      <w:tr w:rsidR="004A0539" w14:paraId="544689B2" w14:textId="77777777" w:rsidTr="2FAFE03E">
        <w:tc>
          <w:tcPr>
            <w:tcW w:w="10141" w:type="dxa"/>
          </w:tcPr>
          <w:p w14:paraId="41FD4D11" w14:textId="77777777" w:rsidR="004A0539" w:rsidRPr="00BD2ABE" w:rsidRDefault="004A0539" w:rsidP="004A0539">
            <w:pPr>
              <w:rPr>
                <w:b/>
                <w:sz w:val="24"/>
                <w:szCs w:val="24"/>
              </w:rPr>
            </w:pPr>
          </w:p>
          <w:p w14:paraId="2D826DA1" w14:textId="0BCA4E69" w:rsidR="004A0539" w:rsidRDefault="42537D10" w:rsidP="004A0539">
            <w:r>
              <w:t>Clients are required to be followed up at</w:t>
            </w:r>
            <w:r w:rsidR="00060490">
              <w:t xml:space="preserve"> 4 </w:t>
            </w:r>
            <w:proofErr w:type="gramStart"/>
            <w:r w:rsidR="00060490">
              <w:t xml:space="preserve">and </w:t>
            </w:r>
            <w:r>
              <w:t xml:space="preserve"> 12</w:t>
            </w:r>
            <w:proofErr w:type="gramEnd"/>
            <w:r>
              <w:t>- week</w:t>
            </w:r>
            <w:r w:rsidR="002A06A3">
              <w:t>s</w:t>
            </w:r>
            <w:r>
              <w:t xml:space="preserve"> after their quit date by the pharmacy advisor.</w:t>
            </w:r>
            <w:r w:rsidR="49CFC6A9">
              <w:t xml:space="preserve"> (Option 2 only). </w:t>
            </w:r>
            <w:r w:rsidR="53867784">
              <w:t xml:space="preserve">Clients should be encouraged to complete a course of either </w:t>
            </w:r>
            <w:r w:rsidR="4542C963">
              <w:t>NRT and</w:t>
            </w:r>
            <w:r w:rsidR="4B7CD08E">
              <w:t xml:space="preserve"> therefore should see the advisor </w:t>
            </w:r>
            <w:r w:rsidR="62672AF8">
              <w:t>at the</w:t>
            </w:r>
            <w:r w:rsidR="49CFC6A9">
              <w:t>ir 4 and</w:t>
            </w:r>
            <w:r w:rsidR="62672AF8">
              <w:t xml:space="preserve"> 12-week quit status. Where this is not possible</w:t>
            </w:r>
            <w:r w:rsidR="5E4D419C">
              <w:t xml:space="preserve"> to</w:t>
            </w:r>
            <w:r>
              <w:t xml:space="preserve"> be carried out</w:t>
            </w:r>
            <w:r w:rsidR="6E5B4BAD">
              <w:t xml:space="preserve">, quit status </w:t>
            </w:r>
            <w:r w:rsidR="49CFC6A9">
              <w:t xml:space="preserve">at the 4 and </w:t>
            </w:r>
            <w:r w:rsidR="6E5B4BAD">
              <w:t xml:space="preserve">12 weeks could </w:t>
            </w:r>
            <w:r w:rsidR="227D0480">
              <w:t xml:space="preserve">be verified </w:t>
            </w:r>
            <w:r>
              <w:t xml:space="preserve">via a telephone call to </w:t>
            </w:r>
            <w:r w:rsidR="227D0480">
              <w:t>the client.</w:t>
            </w:r>
            <w:r>
              <w:t xml:space="preserve"> There should be a minimum of 3 attempts to do this</w:t>
            </w:r>
            <w:r w:rsidR="33D95127">
              <w:t xml:space="preserve"> over several weeks</w:t>
            </w:r>
            <w:r>
              <w:t xml:space="preserve">. </w:t>
            </w:r>
            <w:r w:rsidR="6B1BDA1D">
              <w:t>Where st</w:t>
            </w:r>
            <w:r w:rsidR="275B0C84">
              <w:t xml:space="preserve">atus at 12 weeks is not established, payment for 12 week quit status </w:t>
            </w:r>
            <w:r w:rsidR="1E7EDA2F">
              <w:t xml:space="preserve">cannot be made as the client will </w:t>
            </w:r>
            <w:r w:rsidR="076E070C">
              <w:t>be deemed as lost to follow</w:t>
            </w:r>
            <w:r w:rsidR="743F0E0E">
              <w:t xml:space="preserve"> at that time.</w:t>
            </w:r>
          </w:p>
          <w:p w14:paraId="7FB474E7" w14:textId="77777777" w:rsidR="004A0539" w:rsidRDefault="004A0539" w:rsidP="004A0539"/>
          <w:p w14:paraId="6A6CBD5A" w14:textId="35D94180" w:rsidR="004A2558" w:rsidRDefault="42537D10" w:rsidP="00E02138">
            <w:r>
              <w:t>Clients will also be required to be followed up at 2</w:t>
            </w:r>
            <w:r w:rsidR="495012ED">
              <w:t>6</w:t>
            </w:r>
            <w:r>
              <w:t xml:space="preserve"> weeks and 52 weeks respectively by </w:t>
            </w:r>
            <w:r w:rsidR="7620F8EC">
              <w:t>Smokefree Sefton</w:t>
            </w:r>
            <w:r>
              <w:t xml:space="preserve">. Clients should be made aware they will be contacted by the Smokefree </w:t>
            </w:r>
            <w:r w:rsidR="7620F8EC">
              <w:t>Sefton</w:t>
            </w:r>
            <w:r>
              <w:t xml:space="preserve">. </w:t>
            </w:r>
          </w:p>
          <w:p w14:paraId="66001C1F" w14:textId="129D2DDE" w:rsidR="0057724F" w:rsidRDefault="0057724F" w:rsidP="00E02138"/>
          <w:p w14:paraId="7DF8FE73" w14:textId="60549807" w:rsidR="0057724F" w:rsidRDefault="0057724F" w:rsidP="00E02138"/>
        </w:tc>
      </w:tr>
      <w:tr w:rsidR="0031613A" w14:paraId="7BBF4428" w14:textId="77777777" w:rsidTr="2FAFE03E">
        <w:tc>
          <w:tcPr>
            <w:tcW w:w="10141" w:type="dxa"/>
            <w:shd w:val="clear" w:color="auto" w:fill="FFFFFF" w:themeFill="background1"/>
          </w:tcPr>
          <w:p w14:paraId="42BA2F8E" w14:textId="1C9130A9" w:rsidR="0031613A" w:rsidRPr="00A045A1" w:rsidRDefault="00C34B75" w:rsidP="0031613A">
            <w:pPr>
              <w:rPr>
                <w:b/>
                <w:bCs/>
              </w:rPr>
            </w:pPr>
            <w:r>
              <w:lastRenderedPageBreak/>
              <w:t xml:space="preserve"> </w:t>
            </w:r>
            <w:r w:rsidR="00A97D9D" w:rsidRPr="00A045A1">
              <w:rPr>
                <w:b/>
                <w:bCs/>
              </w:rPr>
              <w:t>6</w:t>
            </w:r>
            <w:r w:rsidR="00F73345" w:rsidRPr="00A045A1">
              <w:rPr>
                <w:b/>
                <w:bCs/>
              </w:rPr>
              <w:t>.</w:t>
            </w:r>
            <w:r w:rsidR="002C2F61" w:rsidRPr="00A045A1">
              <w:rPr>
                <w:b/>
                <w:bCs/>
              </w:rPr>
              <w:t>2</w:t>
            </w:r>
            <w:r w:rsidR="006D51A2" w:rsidRPr="00A045A1">
              <w:rPr>
                <w:b/>
                <w:bCs/>
              </w:rPr>
              <w:t xml:space="preserve"> Key Performance indicators</w:t>
            </w:r>
            <w:r w:rsidR="00E02BE6" w:rsidRPr="00A045A1">
              <w:rPr>
                <w:b/>
                <w:bCs/>
              </w:rPr>
              <w:t xml:space="preserve"> </w:t>
            </w:r>
            <w:r w:rsidR="00C74E61">
              <w:rPr>
                <w:b/>
                <w:bCs/>
              </w:rPr>
              <w:t>(</w:t>
            </w:r>
            <w:r w:rsidR="00E02BE6" w:rsidRPr="00A045A1">
              <w:rPr>
                <w:b/>
                <w:bCs/>
              </w:rPr>
              <w:t>Option 2</w:t>
            </w:r>
            <w:r w:rsidR="00C74E61">
              <w:rPr>
                <w:b/>
                <w:bCs/>
              </w:rPr>
              <w:t>)</w:t>
            </w:r>
          </w:p>
        </w:tc>
      </w:tr>
      <w:tr w:rsidR="006D51A2" w14:paraId="2F0AA788" w14:textId="77777777" w:rsidTr="2FAFE03E">
        <w:tc>
          <w:tcPr>
            <w:tcW w:w="10141" w:type="dxa"/>
          </w:tcPr>
          <w:p w14:paraId="54759D6E" w14:textId="13EC632C" w:rsidR="2090584F" w:rsidRDefault="2090584F" w:rsidP="2090584F">
            <w:pPr>
              <w:tabs>
                <w:tab w:val="left" w:pos="2190"/>
              </w:tabs>
            </w:pPr>
          </w:p>
          <w:p w14:paraId="40E378A6" w14:textId="5028E621" w:rsidR="006D51A2" w:rsidRPr="006D7710" w:rsidRDefault="20915262" w:rsidP="2090584F">
            <w:pPr>
              <w:tabs>
                <w:tab w:val="left" w:pos="2190"/>
              </w:tabs>
              <w:rPr>
                <w:b/>
                <w:bCs/>
              </w:rPr>
            </w:pPr>
            <w:r>
              <w:t>In line with national guidance to ensure confidence and competenc</w:t>
            </w:r>
            <w:r w:rsidR="004E6082">
              <w:t>e</w:t>
            </w:r>
            <w:r>
              <w:t xml:space="preserve"> maintained, </w:t>
            </w:r>
            <w:r w:rsidRPr="2090584F">
              <w:rPr>
                <w:b/>
                <w:bCs/>
                <w:color w:val="FF0000"/>
              </w:rPr>
              <w:t>all individual</w:t>
            </w:r>
            <w:r w:rsidRPr="2090584F">
              <w:rPr>
                <w:color w:val="FF0000"/>
              </w:rPr>
              <w:t xml:space="preserve"> </w:t>
            </w:r>
            <w:r>
              <w:t xml:space="preserve">staff will </w:t>
            </w:r>
            <w:r w:rsidR="2DBD5401">
              <w:t xml:space="preserve">need </w:t>
            </w:r>
            <w:r w:rsidR="00190D1E">
              <w:t xml:space="preserve">to </w:t>
            </w:r>
            <w:r>
              <w:t xml:space="preserve">assist no less than </w:t>
            </w:r>
            <w:r w:rsidR="65AE937C">
              <w:t>2</w:t>
            </w:r>
            <w:r>
              <w:t>0 clients to stop smoking</w:t>
            </w:r>
            <w:r w:rsidR="00190D1E">
              <w:t xml:space="preserve"> annually.</w:t>
            </w:r>
            <w:r>
              <w:t xml:space="preserve">   These clients may not reach quit status. (NCSCT)</w:t>
            </w:r>
          </w:p>
          <w:p w14:paraId="71985B5B" w14:textId="77777777" w:rsidR="006D51A2" w:rsidRPr="00016295" w:rsidRDefault="006D51A2" w:rsidP="006D51A2">
            <w:pPr>
              <w:rPr>
                <w:b/>
              </w:rPr>
            </w:pPr>
          </w:p>
          <w:tbl>
            <w:tblPr>
              <w:tblStyle w:val="TableGrid"/>
              <w:tblW w:w="0" w:type="auto"/>
              <w:tblInd w:w="720" w:type="dxa"/>
              <w:tblLook w:val="04A0" w:firstRow="1" w:lastRow="0" w:firstColumn="1" w:lastColumn="0" w:noHBand="0" w:noVBand="1"/>
            </w:tblPr>
            <w:tblGrid>
              <w:gridCol w:w="2185"/>
              <w:gridCol w:w="2124"/>
              <w:gridCol w:w="2055"/>
            </w:tblGrid>
            <w:tr w:rsidR="006D51A2" w14:paraId="136D0621" w14:textId="77777777" w:rsidTr="2090584F">
              <w:tc>
                <w:tcPr>
                  <w:tcW w:w="2185" w:type="dxa"/>
                </w:tcPr>
                <w:p w14:paraId="7CF5B734" w14:textId="77777777" w:rsidR="006D51A2" w:rsidRPr="000330ED" w:rsidRDefault="006D51A2" w:rsidP="006D51A2">
                  <w:pPr>
                    <w:pStyle w:val="ListParagraph"/>
                    <w:ind w:left="0"/>
                    <w:rPr>
                      <w:b/>
                    </w:rPr>
                  </w:pPr>
                  <w:r w:rsidRPr="000330ED">
                    <w:rPr>
                      <w:b/>
                    </w:rPr>
                    <w:t>Performance indicator</w:t>
                  </w:r>
                </w:p>
              </w:tc>
              <w:tc>
                <w:tcPr>
                  <w:tcW w:w="2124" w:type="dxa"/>
                </w:tcPr>
                <w:p w14:paraId="79823D8C" w14:textId="77777777" w:rsidR="006D51A2" w:rsidRPr="000330ED" w:rsidRDefault="006D51A2" w:rsidP="006D51A2">
                  <w:pPr>
                    <w:pStyle w:val="ListParagraph"/>
                    <w:ind w:left="0"/>
                    <w:rPr>
                      <w:b/>
                    </w:rPr>
                  </w:pPr>
                  <w:r w:rsidRPr="000330ED">
                    <w:rPr>
                      <w:b/>
                    </w:rPr>
                    <w:t>Indicator</w:t>
                  </w:r>
                </w:p>
              </w:tc>
              <w:tc>
                <w:tcPr>
                  <w:tcW w:w="2055" w:type="dxa"/>
                </w:tcPr>
                <w:p w14:paraId="14802736" w14:textId="77777777" w:rsidR="006D51A2" w:rsidRPr="000330ED" w:rsidRDefault="006D51A2" w:rsidP="006D51A2">
                  <w:pPr>
                    <w:pStyle w:val="ListParagraph"/>
                    <w:ind w:left="0"/>
                    <w:rPr>
                      <w:b/>
                    </w:rPr>
                  </w:pPr>
                  <w:r w:rsidRPr="000330ED">
                    <w:rPr>
                      <w:b/>
                    </w:rPr>
                    <w:t>Threshold</w:t>
                  </w:r>
                </w:p>
              </w:tc>
            </w:tr>
            <w:tr w:rsidR="006D51A2" w14:paraId="3FC15734" w14:textId="77777777" w:rsidTr="2090584F">
              <w:tc>
                <w:tcPr>
                  <w:tcW w:w="2185" w:type="dxa"/>
                </w:tcPr>
                <w:p w14:paraId="5890ECB7" w14:textId="77777777" w:rsidR="006D51A2" w:rsidRDefault="006D51A2" w:rsidP="006D51A2">
                  <w:pPr>
                    <w:pStyle w:val="ListParagraph"/>
                    <w:ind w:left="0"/>
                  </w:pPr>
                  <w:r>
                    <w:t>CO validation</w:t>
                  </w:r>
                </w:p>
              </w:tc>
              <w:tc>
                <w:tcPr>
                  <w:tcW w:w="2124" w:type="dxa"/>
                </w:tcPr>
                <w:p w14:paraId="4AD60252" w14:textId="77777777" w:rsidR="006D51A2" w:rsidRDefault="006D51A2" w:rsidP="006D51A2">
                  <w:pPr>
                    <w:pStyle w:val="ListParagraph"/>
                    <w:ind w:left="0"/>
                  </w:pPr>
                  <w:r>
                    <w:t>The percentage of clients whose smoking status was self- reported.</w:t>
                  </w:r>
                </w:p>
              </w:tc>
              <w:tc>
                <w:tcPr>
                  <w:tcW w:w="2055" w:type="dxa"/>
                </w:tcPr>
                <w:p w14:paraId="0F23D577" w14:textId="77777777" w:rsidR="006D51A2" w:rsidRDefault="006D51A2" w:rsidP="006D51A2">
                  <w:pPr>
                    <w:pStyle w:val="ListParagraph"/>
                    <w:ind w:left="0"/>
                  </w:pPr>
                </w:p>
                <w:p w14:paraId="6CC0E941" w14:textId="77777777" w:rsidR="006D51A2" w:rsidRDefault="006D51A2" w:rsidP="006D51A2">
                  <w:pPr>
                    <w:pStyle w:val="ListParagraph"/>
                    <w:ind w:left="0"/>
                  </w:pPr>
                  <w:r>
                    <w:t>No more than 15%</w:t>
                  </w:r>
                </w:p>
              </w:tc>
            </w:tr>
            <w:tr w:rsidR="006D51A2" w14:paraId="29A63DC7" w14:textId="77777777" w:rsidTr="2090584F">
              <w:tc>
                <w:tcPr>
                  <w:tcW w:w="2185" w:type="dxa"/>
                </w:tcPr>
                <w:p w14:paraId="773B31A4" w14:textId="77777777" w:rsidR="006D51A2" w:rsidRDefault="006D51A2" w:rsidP="006D51A2">
                  <w:pPr>
                    <w:pStyle w:val="ListParagraph"/>
                    <w:ind w:left="0"/>
                  </w:pPr>
                  <w:r>
                    <w:t xml:space="preserve">CO validation by CO monitoring </w:t>
                  </w:r>
                </w:p>
              </w:tc>
              <w:tc>
                <w:tcPr>
                  <w:tcW w:w="2124" w:type="dxa"/>
                </w:tcPr>
                <w:p w14:paraId="34EC52EB" w14:textId="77777777" w:rsidR="006D51A2" w:rsidRDefault="006D51A2" w:rsidP="006D51A2">
                  <w:pPr>
                    <w:pStyle w:val="ListParagraph"/>
                    <w:ind w:left="0"/>
                  </w:pPr>
                  <w:r>
                    <w:t>The percentage of clients whose smoking status is quality assured by CO validation</w:t>
                  </w:r>
                </w:p>
              </w:tc>
              <w:tc>
                <w:tcPr>
                  <w:tcW w:w="2055" w:type="dxa"/>
                </w:tcPr>
                <w:p w14:paraId="6935E267" w14:textId="77777777" w:rsidR="006D51A2" w:rsidRDefault="006D51A2" w:rsidP="006D51A2">
                  <w:pPr>
                    <w:pStyle w:val="ListParagraph"/>
                    <w:ind w:left="0"/>
                  </w:pPr>
                </w:p>
                <w:p w14:paraId="533B6BDF" w14:textId="77777777" w:rsidR="006D51A2" w:rsidRDefault="006D51A2" w:rsidP="006D51A2">
                  <w:pPr>
                    <w:pStyle w:val="ListParagraph"/>
                    <w:ind w:left="0"/>
                  </w:pPr>
                  <w:r>
                    <w:t>Target aim 85%</w:t>
                  </w:r>
                </w:p>
              </w:tc>
            </w:tr>
            <w:tr w:rsidR="006D51A2" w14:paraId="1A324EB3" w14:textId="77777777" w:rsidTr="2090584F">
              <w:tc>
                <w:tcPr>
                  <w:tcW w:w="2185" w:type="dxa"/>
                </w:tcPr>
                <w:p w14:paraId="699CC71E" w14:textId="77777777" w:rsidR="006D51A2" w:rsidRDefault="006D51A2" w:rsidP="006D51A2">
                  <w:pPr>
                    <w:pStyle w:val="ListParagraph"/>
                    <w:ind w:left="0"/>
                  </w:pPr>
                </w:p>
                <w:p w14:paraId="3E8FC335" w14:textId="77777777" w:rsidR="006D51A2" w:rsidRDefault="006D51A2" w:rsidP="006D51A2">
                  <w:pPr>
                    <w:pStyle w:val="ListParagraph"/>
                    <w:ind w:left="0"/>
                  </w:pPr>
                </w:p>
                <w:p w14:paraId="2C40A504" w14:textId="77777777" w:rsidR="006D51A2" w:rsidRDefault="006D51A2" w:rsidP="006D51A2">
                  <w:pPr>
                    <w:pStyle w:val="ListParagraph"/>
                    <w:ind w:left="0"/>
                  </w:pPr>
                  <w:r>
                    <w:t>4 week quit rates</w:t>
                  </w:r>
                </w:p>
              </w:tc>
              <w:tc>
                <w:tcPr>
                  <w:tcW w:w="2124" w:type="dxa"/>
                </w:tcPr>
                <w:p w14:paraId="47075F59" w14:textId="77777777" w:rsidR="006D51A2" w:rsidRDefault="006D51A2" w:rsidP="006D51A2">
                  <w:pPr>
                    <w:pStyle w:val="ListParagraph"/>
                    <w:ind w:left="0"/>
                  </w:pPr>
                  <w:r>
                    <w:t>Number of clients successfully quit at 4 weeks as a percentage of those eligible for 4-week follow up.</w:t>
                  </w:r>
                </w:p>
                <w:p w14:paraId="00E1AB75" w14:textId="77777777" w:rsidR="006D51A2" w:rsidRDefault="006D51A2" w:rsidP="006D51A2">
                  <w:pPr>
                    <w:pStyle w:val="ListParagraph"/>
                    <w:ind w:left="0"/>
                  </w:pPr>
                </w:p>
              </w:tc>
              <w:tc>
                <w:tcPr>
                  <w:tcW w:w="2055" w:type="dxa"/>
                </w:tcPr>
                <w:p w14:paraId="6C7B5DF9" w14:textId="77777777" w:rsidR="006D51A2" w:rsidRDefault="006D51A2" w:rsidP="006D51A2">
                  <w:pPr>
                    <w:pStyle w:val="ListParagraph"/>
                    <w:ind w:left="0"/>
                  </w:pPr>
                </w:p>
                <w:p w14:paraId="53D11BAF" w14:textId="77777777" w:rsidR="006D51A2" w:rsidRDefault="006D51A2" w:rsidP="006D51A2">
                  <w:pPr>
                    <w:pStyle w:val="ListParagraph"/>
                    <w:ind w:left="0"/>
                  </w:pPr>
                </w:p>
                <w:p w14:paraId="181FE21E" w14:textId="77777777" w:rsidR="006D51A2" w:rsidRDefault="006D51A2" w:rsidP="006D51A2">
                  <w:pPr>
                    <w:pStyle w:val="ListParagraph"/>
                    <w:ind w:left="0"/>
                  </w:pPr>
                  <w:r>
                    <w:t>Target aim 45%</w:t>
                  </w:r>
                </w:p>
              </w:tc>
            </w:tr>
            <w:tr w:rsidR="006D51A2" w14:paraId="2E338227" w14:textId="77777777" w:rsidTr="2090584F">
              <w:tc>
                <w:tcPr>
                  <w:tcW w:w="2185" w:type="dxa"/>
                </w:tcPr>
                <w:p w14:paraId="1701EC8A" w14:textId="77777777" w:rsidR="006D51A2" w:rsidRDefault="006D51A2" w:rsidP="006D51A2">
                  <w:pPr>
                    <w:pStyle w:val="ListParagraph"/>
                    <w:ind w:left="0"/>
                  </w:pPr>
                  <w:r>
                    <w:t>The number of clients LTF</w:t>
                  </w:r>
                </w:p>
              </w:tc>
              <w:tc>
                <w:tcPr>
                  <w:tcW w:w="2124" w:type="dxa"/>
                </w:tcPr>
                <w:p w14:paraId="3FDC36DC" w14:textId="77777777" w:rsidR="006D51A2" w:rsidRDefault="006D51A2" w:rsidP="006D51A2">
                  <w:pPr>
                    <w:pStyle w:val="ListParagraph"/>
                    <w:ind w:left="0"/>
                  </w:pPr>
                  <w:r>
                    <w:t>The number of clients deemed as lost to follow, after 3 contact attempts have been made at different times / days.</w:t>
                  </w:r>
                </w:p>
              </w:tc>
              <w:tc>
                <w:tcPr>
                  <w:tcW w:w="2055" w:type="dxa"/>
                </w:tcPr>
                <w:p w14:paraId="7E316FC2" w14:textId="77777777" w:rsidR="006D51A2" w:rsidRDefault="006D51A2" w:rsidP="006D51A2">
                  <w:pPr>
                    <w:pStyle w:val="ListParagraph"/>
                    <w:ind w:left="0"/>
                  </w:pPr>
                </w:p>
                <w:p w14:paraId="49995D83" w14:textId="77777777" w:rsidR="006D51A2" w:rsidRDefault="006D51A2" w:rsidP="006D51A2">
                  <w:pPr>
                    <w:pStyle w:val="ListParagraph"/>
                    <w:ind w:left="0"/>
                  </w:pPr>
                </w:p>
                <w:p w14:paraId="1BA54422" w14:textId="77777777" w:rsidR="006D51A2" w:rsidRDefault="006D51A2" w:rsidP="006D51A2">
                  <w:pPr>
                    <w:pStyle w:val="ListParagraph"/>
                    <w:ind w:left="0"/>
                  </w:pPr>
                  <w:r>
                    <w:t>Target no more than 15%</w:t>
                  </w:r>
                </w:p>
              </w:tc>
            </w:tr>
            <w:tr w:rsidR="006D51A2" w14:paraId="06E093BB" w14:textId="77777777" w:rsidTr="2090584F">
              <w:tc>
                <w:tcPr>
                  <w:tcW w:w="2185" w:type="dxa"/>
                </w:tcPr>
                <w:p w14:paraId="0914D5AF" w14:textId="77777777" w:rsidR="006D51A2" w:rsidRDefault="006D51A2" w:rsidP="006D51A2">
                  <w:pPr>
                    <w:pStyle w:val="ListParagraph"/>
                    <w:ind w:left="0"/>
                  </w:pPr>
                  <w:r>
                    <w:t>Client feedback</w:t>
                  </w:r>
                </w:p>
              </w:tc>
              <w:tc>
                <w:tcPr>
                  <w:tcW w:w="2124" w:type="dxa"/>
                </w:tcPr>
                <w:p w14:paraId="7F5640EF" w14:textId="3BD647C4" w:rsidR="006D51A2" w:rsidRDefault="006D51A2" w:rsidP="006D51A2">
                  <w:pPr>
                    <w:pStyle w:val="ListParagraph"/>
                    <w:ind w:left="0"/>
                  </w:pPr>
                  <w:r>
                    <w:t xml:space="preserve">The service will seek client </w:t>
                  </w:r>
                  <w:r w:rsidR="00FF6A4F">
                    <w:t>feedback.</w:t>
                  </w:r>
                </w:p>
                <w:p w14:paraId="2B061107" w14:textId="77777777" w:rsidR="006D51A2" w:rsidRDefault="006D51A2" w:rsidP="006D51A2">
                  <w:pPr>
                    <w:pStyle w:val="ListParagraph"/>
                    <w:ind w:left="0"/>
                  </w:pPr>
                </w:p>
              </w:tc>
              <w:tc>
                <w:tcPr>
                  <w:tcW w:w="2055" w:type="dxa"/>
                </w:tcPr>
                <w:p w14:paraId="6F65F63D" w14:textId="77777777" w:rsidR="006D51A2" w:rsidRDefault="006D51A2" w:rsidP="006D51A2">
                  <w:pPr>
                    <w:pStyle w:val="ListParagraph"/>
                    <w:ind w:left="0"/>
                  </w:pPr>
                  <w:r>
                    <w:t>Feedback from 95% of clients</w:t>
                  </w:r>
                </w:p>
                <w:p w14:paraId="35A472A1" w14:textId="2B04AFB8" w:rsidR="006D51A2" w:rsidRDefault="20915262" w:rsidP="006D51A2">
                  <w:pPr>
                    <w:pStyle w:val="ListParagraph"/>
                    <w:ind w:left="0"/>
                  </w:pPr>
                  <w:r>
                    <w:t xml:space="preserve">(This will be sourced by Smokefree </w:t>
                  </w:r>
                  <w:r w:rsidR="7620F8EC">
                    <w:t>Sefton</w:t>
                  </w:r>
                  <w:r>
                    <w:t>)</w:t>
                  </w:r>
                </w:p>
                <w:p w14:paraId="00CE56B2" w14:textId="77777777" w:rsidR="006D51A2" w:rsidRDefault="006D51A2" w:rsidP="006D51A2">
                  <w:pPr>
                    <w:pStyle w:val="ListParagraph"/>
                    <w:ind w:left="0"/>
                  </w:pPr>
                </w:p>
              </w:tc>
            </w:tr>
          </w:tbl>
          <w:p w14:paraId="70900EBA" w14:textId="77777777" w:rsidR="006D51A2" w:rsidRDefault="006D51A2" w:rsidP="006D51A2">
            <w:pPr>
              <w:rPr>
                <w:rFonts w:ascii="Arial" w:hAnsi="Arial" w:cs="Arial"/>
                <w:b/>
                <w:i/>
                <w:sz w:val="20"/>
                <w:szCs w:val="20"/>
              </w:rPr>
            </w:pPr>
          </w:p>
          <w:p w14:paraId="560C1A9D" w14:textId="77777777" w:rsidR="00204A89" w:rsidRDefault="006D51A2" w:rsidP="006D51A2">
            <w:pPr>
              <w:rPr>
                <w:rFonts w:ascii="Arial" w:hAnsi="Arial" w:cs="Arial"/>
                <w:b/>
                <w:i/>
                <w:sz w:val="16"/>
                <w:szCs w:val="16"/>
              </w:rPr>
            </w:pPr>
            <w:r w:rsidRPr="006C0096">
              <w:rPr>
                <w:rFonts w:ascii="Arial" w:hAnsi="Arial" w:cs="Arial"/>
                <w:b/>
                <w:i/>
                <w:sz w:val="20"/>
                <w:szCs w:val="20"/>
              </w:rPr>
              <w:t xml:space="preserve">The definition of a quitter is a client who meets the requirements identified in line with the Russell Standards </w:t>
            </w:r>
            <w:r w:rsidR="0054528F" w:rsidRPr="0054528F">
              <w:rPr>
                <w:rFonts w:ascii="Arial" w:hAnsi="Arial" w:cs="Arial"/>
                <w:b/>
                <w:i/>
                <w:sz w:val="16"/>
                <w:szCs w:val="16"/>
              </w:rPr>
              <w:t>(NCSCT monitoring and Guidance 20</w:t>
            </w:r>
            <w:r w:rsidR="00FD4C58">
              <w:rPr>
                <w:rFonts w:ascii="Arial" w:hAnsi="Arial" w:cs="Arial"/>
                <w:b/>
                <w:i/>
                <w:sz w:val="16"/>
                <w:szCs w:val="16"/>
              </w:rPr>
              <w:t>2</w:t>
            </w:r>
            <w:r w:rsidR="0054528F" w:rsidRPr="0054528F">
              <w:rPr>
                <w:rFonts w:ascii="Arial" w:hAnsi="Arial" w:cs="Arial"/>
                <w:b/>
                <w:i/>
                <w:sz w:val="16"/>
                <w:szCs w:val="16"/>
              </w:rPr>
              <w:t>4)</w:t>
            </w:r>
          </w:p>
          <w:p w14:paraId="00520FD2" w14:textId="77777777" w:rsidR="00A045A1" w:rsidRDefault="00A045A1" w:rsidP="006D51A2">
            <w:pPr>
              <w:rPr>
                <w:rFonts w:ascii="Arial" w:hAnsi="Arial" w:cs="Arial"/>
                <w:b/>
                <w:i/>
                <w:sz w:val="20"/>
                <w:szCs w:val="20"/>
              </w:rPr>
            </w:pPr>
          </w:p>
          <w:p w14:paraId="038B8BD7" w14:textId="77777777" w:rsidR="003635AD" w:rsidRPr="003635AD" w:rsidRDefault="003635AD" w:rsidP="006D51A2">
            <w:pPr>
              <w:rPr>
                <w:rFonts w:ascii="Arial" w:hAnsi="Arial" w:cs="Arial"/>
                <w:b/>
                <w:iCs/>
                <w:sz w:val="20"/>
                <w:szCs w:val="20"/>
              </w:rPr>
            </w:pPr>
            <w:r w:rsidRPr="003635AD">
              <w:rPr>
                <w:rFonts w:ascii="Arial" w:hAnsi="Arial" w:cs="Arial"/>
                <w:b/>
                <w:iCs/>
                <w:sz w:val="20"/>
                <w:szCs w:val="20"/>
              </w:rPr>
              <w:t>Local KPIs:</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82"/>
              <w:gridCol w:w="2173"/>
            </w:tblGrid>
            <w:tr w:rsidR="00401CF0" w:rsidRPr="00401CF0" w14:paraId="04F4FF4E" w14:textId="77777777">
              <w:trPr>
                <w:trHeight w:val="330"/>
              </w:trPr>
              <w:tc>
                <w:tcPr>
                  <w:tcW w:w="25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0EDA19" w14:textId="77777777" w:rsidR="00401CF0" w:rsidRPr="00401CF0" w:rsidRDefault="00401CF0" w:rsidP="00401CF0">
                  <w:pPr>
                    <w:spacing w:after="0" w:line="240" w:lineRule="auto"/>
                    <w:textAlignment w:val="baseline"/>
                    <w:rPr>
                      <w:rFonts w:ascii="Aptos" w:eastAsia="Times New Roman" w:hAnsi="Aptos" w:cs="Segoe UI"/>
                      <w:color w:val="000000"/>
                      <w:sz w:val="24"/>
                      <w:szCs w:val="24"/>
                      <w:lang w:eastAsia="en-GB"/>
                    </w:rPr>
                  </w:pPr>
                  <w:r w:rsidRPr="00401CF0">
                    <w:rPr>
                      <w:rFonts w:ascii="Aptos" w:eastAsia="Times New Roman" w:hAnsi="Aptos" w:cs="Segoe UI"/>
                      <w:b/>
                      <w:bCs/>
                      <w:color w:val="000000"/>
                      <w:sz w:val="24"/>
                      <w:szCs w:val="24"/>
                      <w:lang w:eastAsia="en-GB"/>
                    </w:rPr>
                    <w:t> </w:t>
                  </w:r>
                </w:p>
              </w:tc>
              <w:tc>
                <w:tcPr>
                  <w:tcW w:w="2173" w:type="dxa"/>
                  <w:tcBorders>
                    <w:top w:val="single" w:sz="8"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D1D569" w14:textId="77777777" w:rsidR="00401CF0" w:rsidRPr="00401CF0" w:rsidRDefault="00401CF0" w:rsidP="00401CF0">
                  <w:pPr>
                    <w:spacing w:after="0" w:line="240" w:lineRule="auto"/>
                    <w:textAlignment w:val="baseline"/>
                    <w:rPr>
                      <w:rFonts w:ascii="Aptos" w:eastAsia="Times New Roman" w:hAnsi="Aptos" w:cs="Segoe UI"/>
                      <w:color w:val="000000"/>
                      <w:sz w:val="24"/>
                      <w:szCs w:val="24"/>
                      <w:lang w:eastAsia="en-GB"/>
                    </w:rPr>
                  </w:pPr>
                  <w:r w:rsidRPr="00401CF0">
                    <w:rPr>
                      <w:rFonts w:ascii="Aptos" w:eastAsia="Times New Roman" w:hAnsi="Aptos" w:cs="Segoe UI"/>
                      <w:b/>
                      <w:bCs/>
                      <w:color w:val="000000"/>
                      <w:sz w:val="24"/>
                      <w:szCs w:val="24"/>
                      <w:lang w:eastAsia="en-GB"/>
                    </w:rPr>
                    <w:t>KPI</w:t>
                  </w:r>
                </w:p>
              </w:tc>
            </w:tr>
            <w:tr w:rsidR="00401CF0" w:rsidRPr="00401CF0" w14:paraId="1FB5B508" w14:textId="77777777">
              <w:trPr>
                <w:trHeight w:val="330"/>
              </w:trPr>
              <w:tc>
                <w:tcPr>
                  <w:tcW w:w="2582"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F304DD" w14:textId="77777777" w:rsidR="00401CF0" w:rsidRPr="00401CF0" w:rsidRDefault="00401CF0" w:rsidP="00401CF0">
                  <w:pPr>
                    <w:spacing w:after="0" w:line="240" w:lineRule="auto"/>
                    <w:textAlignment w:val="baseline"/>
                    <w:rPr>
                      <w:rFonts w:ascii="Aptos" w:eastAsia="Times New Roman" w:hAnsi="Aptos" w:cs="Segoe UI"/>
                      <w:color w:val="000000"/>
                      <w:sz w:val="24"/>
                      <w:szCs w:val="24"/>
                      <w:lang w:eastAsia="en-GB"/>
                    </w:rPr>
                  </w:pPr>
                  <w:r w:rsidRPr="00401CF0">
                    <w:rPr>
                      <w:rFonts w:ascii="Aptos" w:eastAsia="Times New Roman" w:hAnsi="Aptos" w:cs="Segoe UI"/>
                      <w:b/>
                      <w:bCs/>
                      <w:color w:val="000000"/>
                      <w:sz w:val="24"/>
                      <w:szCs w:val="24"/>
                      <w:lang w:eastAsia="en-GB"/>
                    </w:rPr>
                    <w:t>QDS</w:t>
                  </w:r>
                </w:p>
              </w:tc>
              <w:tc>
                <w:tcPr>
                  <w:tcW w:w="2173"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0E6E9A" w14:textId="77777777" w:rsidR="00401CF0" w:rsidRPr="00401CF0" w:rsidRDefault="00401CF0" w:rsidP="00401CF0">
                  <w:pPr>
                    <w:spacing w:after="0" w:line="240" w:lineRule="auto"/>
                    <w:textAlignment w:val="baseline"/>
                    <w:rPr>
                      <w:rFonts w:ascii="Aptos" w:eastAsia="Times New Roman" w:hAnsi="Aptos" w:cs="Segoe UI"/>
                      <w:color w:val="000000"/>
                      <w:sz w:val="24"/>
                      <w:szCs w:val="24"/>
                      <w:lang w:eastAsia="en-GB"/>
                    </w:rPr>
                  </w:pPr>
                  <w:r w:rsidRPr="00401CF0">
                    <w:rPr>
                      <w:rFonts w:ascii="Aptos" w:eastAsia="Times New Roman" w:hAnsi="Aptos" w:cs="Segoe UI"/>
                      <w:color w:val="000000"/>
                      <w:sz w:val="24"/>
                      <w:szCs w:val="24"/>
                      <w:lang w:eastAsia="en-GB"/>
                    </w:rPr>
                    <w:t>144</w:t>
                  </w:r>
                </w:p>
              </w:tc>
            </w:tr>
            <w:tr w:rsidR="00401CF0" w:rsidRPr="00401CF0" w14:paraId="2F573800" w14:textId="77777777">
              <w:trPr>
                <w:trHeight w:val="330"/>
              </w:trPr>
              <w:tc>
                <w:tcPr>
                  <w:tcW w:w="2582" w:type="dxa"/>
                  <w:tcBorders>
                    <w:top w:val="outset"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EEB865" w14:textId="77777777" w:rsidR="00401CF0" w:rsidRPr="00401CF0" w:rsidRDefault="00401CF0" w:rsidP="00401CF0">
                  <w:pPr>
                    <w:spacing w:after="0" w:line="240" w:lineRule="auto"/>
                    <w:textAlignment w:val="baseline"/>
                    <w:rPr>
                      <w:rFonts w:ascii="Aptos" w:eastAsia="Times New Roman" w:hAnsi="Aptos" w:cs="Segoe UI"/>
                      <w:color w:val="000000"/>
                      <w:sz w:val="24"/>
                      <w:szCs w:val="24"/>
                      <w:lang w:eastAsia="en-GB"/>
                    </w:rPr>
                  </w:pPr>
                  <w:r w:rsidRPr="00401CF0">
                    <w:rPr>
                      <w:rFonts w:ascii="Aptos" w:eastAsia="Times New Roman" w:hAnsi="Aptos" w:cs="Segoe UI"/>
                      <w:b/>
                      <w:bCs/>
                      <w:color w:val="000000"/>
                      <w:sz w:val="24"/>
                      <w:szCs w:val="24"/>
                      <w:lang w:eastAsia="en-GB"/>
                    </w:rPr>
                    <w:t>4 WK </w:t>
                  </w:r>
                </w:p>
              </w:tc>
              <w:tc>
                <w:tcPr>
                  <w:tcW w:w="2173" w:type="dxa"/>
                  <w:tcBorders>
                    <w:top w:val="outset" w:sz="6" w:space="0" w:color="auto"/>
                    <w:left w:val="outset" w:sz="6"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24AEEB" w14:textId="77777777" w:rsidR="00401CF0" w:rsidRPr="00401CF0" w:rsidRDefault="00401CF0" w:rsidP="00401CF0">
                  <w:pPr>
                    <w:spacing w:after="0" w:line="240" w:lineRule="auto"/>
                    <w:textAlignment w:val="baseline"/>
                    <w:rPr>
                      <w:rFonts w:ascii="Aptos" w:eastAsia="Times New Roman" w:hAnsi="Aptos" w:cs="Segoe UI"/>
                      <w:color w:val="000000"/>
                      <w:sz w:val="24"/>
                      <w:szCs w:val="24"/>
                      <w:lang w:eastAsia="en-GB"/>
                    </w:rPr>
                  </w:pPr>
                  <w:r w:rsidRPr="00401CF0">
                    <w:rPr>
                      <w:rFonts w:ascii="Aptos" w:eastAsia="Times New Roman" w:hAnsi="Aptos" w:cs="Segoe UI"/>
                      <w:color w:val="000000"/>
                      <w:sz w:val="24"/>
                      <w:szCs w:val="24"/>
                      <w:lang w:eastAsia="en-GB"/>
                    </w:rPr>
                    <w:t>68</w:t>
                  </w:r>
                </w:p>
              </w:tc>
            </w:tr>
          </w:tbl>
          <w:p w14:paraId="2A8830A7" w14:textId="77777777" w:rsidR="003635AD" w:rsidRPr="003635AD" w:rsidRDefault="003635AD" w:rsidP="006D51A2">
            <w:pPr>
              <w:rPr>
                <w:rFonts w:ascii="Arial" w:hAnsi="Arial" w:cs="Arial"/>
                <w:bCs/>
                <w:iCs/>
                <w:sz w:val="20"/>
                <w:szCs w:val="20"/>
              </w:rPr>
            </w:pPr>
          </w:p>
          <w:p w14:paraId="791ED628" w14:textId="7913F8AA" w:rsidR="003635AD" w:rsidRPr="004E6082" w:rsidRDefault="003635AD" w:rsidP="006D51A2">
            <w:pPr>
              <w:rPr>
                <w:rFonts w:ascii="Arial" w:hAnsi="Arial" w:cs="Arial"/>
                <w:b/>
                <w:i/>
                <w:sz w:val="20"/>
                <w:szCs w:val="20"/>
              </w:rPr>
            </w:pPr>
          </w:p>
        </w:tc>
      </w:tr>
      <w:tr w:rsidR="006D51A2" w14:paraId="2874B44B" w14:textId="77777777" w:rsidTr="2FAFE03E">
        <w:tc>
          <w:tcPr>
            <w:tcW w:w="10141" w:type="dxa"/>
            <w:shd w:val="clear" w:color="auto" w:fill="FFFFFF" w:themeFill="background1"/>
          </w:tcPr>
          <w:p w14:paraId="2E9F1851" w14:textId="62A2C9C8" w:rsidR="006D51A2" w:rsidRPr="00A045A1" w:rsidRDefault="00A97D9D" w:rsidP="006D51A2">
            <w:pPr>
              <w:rPr>
                <w:b/>
                <w:bCs/>
              </w:rPr>
            </w:pPr>
            <w:r w:rsidRPr="00A045A1">
              <w:rPr>
                <w:b/>
                <w:bCs/>
              </w:rPr>
              <w:lastRenderedPageBreak/>
              <w:t>6</w:t>
            </w:r>
            <w:r w:rsidR="002C2F61" w:rsidRPr="00A045A1">
              <w:rPr>
                <w:b/>
                <w:bCs/>
              </w:rPr>
              <w:t xml:space="preserve">.3 </w:t>
            </w:r>
            <w:r w:rsidR="006D51A2" w:rsidRPr="00A045A1">
              <w:rPr>
                <w:b/>
                <w:bCs/>
              </w:rPr>
              <w:t>Access to the service</w:t>
            </w:r>
            <w:r w:rsidR="00420DB8" w:rsidRPr="00A045A1">
              <w:rPr>
                <w:b/>
                <w:bCs/>
              </w:rPr>
              <w:t xml:space="preserve"> (Option 2)</w:t>
            </w:r>
          </w:p>
        </w:tc>
      </w:tr>
      <w:tr w:rsidR="006D51A2" w14:paraId="37FA8BFF" w14:textId="77777777" w:rsidTr="2FAFE03E">
        <w:tc>
          <w:tcPr>
            <w:tcW w:w="10141" w:type="dxa"/>
          </w:tcPr>
          <w:p w14:paraId="0885BE9F" w14:textId="77777777" w:rsidR="00C34B75" w:rsidRPr="00C34B75" w:rsidRDefault="00C34B75" w:rsidP="00C34B75">
            <w:pPr>
              <w:spacing w:line="256" w:lineRule="auto"/>
              <w:rPr>
                <w:rFonts w:ascii="Calibri" w:eastAsia="Calibri" w:hAnsi="Calibri" w:cs="Times New Roman"/>
              </w:rPr>
            </w:pPr>
            <w:r w:rsidRPr="00C34B75">
              <w:rPr>
                <w:rFonts w:ascii="Calibri" w:eastAsia="Calibri" w:hAnsi="Calibri" w:cs="Times New Roman"/>
                <w:b/>
              </w:rPr>
              <w:t>Inclusion of clients using Nicotine Replacement Therapy (NRT)</w:t>
            </w:r>
          </w:p>
          <w:p w14:paraId="0DEE836D" w14:textId="77777777" w:rsidR="00C34B75" w:rsidRPr="00C34B75" w:rsidRDefault="00C34B75" w:rsidP="00C34B75">
            <w:pPr>
              <w:spacing w:line="256" w:lineRule="auto"/>
              <w:rPr>
                <w:rFonts w:ascii="Calibri" w:eastAsia="Calibri" w:hAnsi="Calibri" w:cs="Times New Roman"/>
              </w:rPr>
            </w:pPr>
            <w:r w:rsidRPr="00C34B75">
              <w:rPr>
                <w:rFonts w:ascii="Calibri" w:eastAsia="Calibri" w:hAnsi="Calibri" w:cs="Times New Roman"/>
              </w:rPr>
              <w:t>There should no barriers to the service</w:t>
            </w:r>
          </w:p>
          <w:p w14:paraId="12349FC7" w14:textId="77777777" w:rsidR="00C34B75" w:rsidRPr="00C34B75" w:rsidRDefault="00C34B75" w:rsidP="00C34B75">
            <w:pPr>
              <w:numPr>
                <w:ilvl w:val="0"/>
                <w:numId w:val="26"/>
              </w:numPr>
              <w:spacing w:line="256" w:lineRule="auto"/>
              <w:contextualSpacing/>
              <w:rPr>
                <w:rFonts w:ascii="Calibri" w:eastAsia="Calibri" w:hAnsi="Calibri" w:cs="Times New Roman"/>
              </w:rPr>
            </w:pPr>
            <w:r w:rsidRPr="00C34B75">
              <w:rPr>
                <w:rFonts w:ascii="Calibri" w:eastAsia="Calibri" w:hAnsi="Calibri" w:cs="Times New Roman"/>
              </w:rPr>
              <w:t>Clients may be referred by any health professional.</w:t>
            </w:r>
          </w:p>
          <w:p w14:paraId="07E24B18" w14:textId="77777777" w:rsidR="00C34B75" w:rsidRPr="00C34B75" w:rsidRDefault="00C34B75" w:rsidP="00C34B75">
            <w:pPr>
              <w:numPr>
                <w:ilvl w:val="0"/>
                <w:numId w:val="26"/>
              </w:numPr>
              <w:spacing w:line="256" w:lineRule="auto"/>
              <w:contextualSpacing/>
              <w:rPr>
                <w:rFonts w:ascii="Calibri" w:eastAsia="Calibri" w:hAnsi="Calibri" w:cs="Times New Roman"/>
              </w:rPr>
            </w:pPr>
            <w:r w:rsidRPr="00C34B75">
              <w:rPr>
                <w:rFonts w:ascii="Calibri" w:eastAsia="Calibri" w:hAnsi="Calibri" w:cs="Times New Roman"/>
              </w:rPr>
              <w:t>Clients may self- refer.</w:t>
            </w:r>
          </w:p>
          <w:p w14:paraId="0F679B3C" w14:textId="77777777" w:rsidR="00C34B75" w:rsidRPr="00C34B75" w:rsidRDefault="00C34B75" w:rsidP="00C34B75">
            <w:pPr>
              <w:numPr>
                <w:ilvl w:val="0"/>
                <w:numId w:val="26"/>
              </w:numPr>
              <w:spacing w:line="256" w:lineRule="auto"/>
              <w:contextualSpacing/>
              <w:rPr>
                <w:rFonts w:ascii="Calibri" w:eastAsia="Calibri" w:hAnsi="Calibri" w:cs="Times New Roman"/>
              </w:rPr>
            </w:pPr>
            <w:r w:rsidRPr="00C34B75">
              <w:rPr>
                <w:rFonts w:ascii="Calibri" w:eastAsia="Calibri" w:hAnsi="Calibri" w:cs="Times New Roman"/>
              </w:rPr>
              <w:t xml:space="preserve">Clients who are already attempting to quit by using NRT or other nicotine containing products and need extra support and guidance. </w:t>
            </w:r>
          </w:p>
          <w:p w14:paraId="14BAF32A" w14:textId="5D2243FD" w:rsidR="00C34B75" w:rsidRPr="00C34B75" w:rsidRDefault="449B091E" w:rsidP="2090584F">
            <w:pPr>
              <w:numPr>
                <w:ilvl w:val="0"/>
                <w:numId w:val="26"/>
              </w:numPr>
              <w:spacing w:line="256" w:lineRule="auto"/>
              <w:contextualSpacing/>
              <w:rPr>
                <w:rFonts w:ascii="Calibri" w:eastAsia="Calibri" w:hAnsi="Calibri" w:cs="Times New Roman"/>
              </w:rPr>
            </w:pPr>
            <w:r w:rsidRPr="2090584F">
              <w:rPr>
                <w:rFonts w:ascii="Calibri" w:eastAsia="Calibri" w:hAnsi="Calibri" w:cs="Times New Roman"/>
              </w:rPr>
              <w:t>Clients who live</w:t>
            </w:r>
            <w:r w:rsidR="2C4354F0" w:rsidRPr="2090584F">
              <w:rPr>
                <w:rFonts w:ascii="Calibri" w:eastAsia="Calibri" w:hAnsi="Calibri" w:cs="Times New Roman"/>
              </w:rPr>
              <w:t xml:space="preserve"> or work in Sefton </w:t>
            </w:r>
            <w:r w:rsidRPr="2090584F">
              <w:rPr>
                <w:rFonts w:ascii="Calibri" w:eastAsia="Calibri" w:hAnsi="Calibri" w:cs="Times New Roman"/>
              </w:rPr>
              <w:t>or are registered with a GP in Sefton</w:t>
            </w:r>
          </w:p>
          <w:p w14:paraId="630F45BB" w14:textId="670A68D2" w:rsidR="00C34B75" w:rsidRPr="00C34B75" w:rsidRDefault="449B091E" w:rsidP="2090584F">
            <w:pPr>
              <w:numPr>
                <w:ilvl w:val="0"/>
                <w:numId w:val="26"/>
              </w:numPr>
              <w:spacing w:line="256" w:lineRule="auto"/>
              <w:contextualSpacing/>
              <w:rPr>
                <w:rFonts w:ascii="Calibri" w:eastAsia="Calibri" w:hAnsi="Calibri" w:cs="Times New Roman"/>
              </w:rPr>
            </w:pPr>
            <w:r w:rsidRPr="2090584F">
              <w:rPr>
                <w:rFonts w:ascii="Calibri" w:eastAsia="Calibri" w:hAnsi="Calibri" w:cs="Times New Roman"/>
              </w:rPr>
              <w:t xml:space="preserve">Clients who, because of medical treatment programmes, </w:t>
            </w:r>
            <w:r w:rsidR="5013657F" w:rsidRPr="2090584F">
              <w:rPr>
                <w:rFonts w:ascii="Calibri" w:eastAsia="Calibri" w:hAnsi="Calibri" w:cs="Times New Roman"/>
              </w:rPr>
              <w:t>need speedy</w:t>
            </w:r>
            <w:r w:rsidRPr="2090584F">
              <w:rPr>
                <w:rFonts w:ascii="Calibri" w:eastAsia="Calibri" w:hAnsi="Calibri" w:cs="Times New Roman"/>
              </w:rPr>
              <w:t xml:space="preserve"> access </w:t>
            </w:r>
            <w:r w:rsidR="395B06A0" w:rsidRPr="2090584F">
              <w:rPr>
                <w:rFonts w:ascii="Calibri" w:eastAsia="Calibri" w:hAnsi="Calibri" w:cs="Times New Roman"/>
              </w:rPr>
              <w:t xml:space="preserve">to </w:t>
            </w:r>
            <w:r w:rsidRPr="2090584F">
              <w:rPr>
                <w:rFonts w:ascii="Calibri" w:eastAsia="Calibri" w:hAnsi="Calibri" w:cs="Times New Roman"/>
              </w:rPr>
              <w:t xml:space="preserve">the service. </w:t>
            </w:r>
          </w:p>
          <w:p w14:paraId="5BF30EF8" w14:textId="77777777" w:rsidR="00C34B75" w:rsidRPr="00C34B75" w:rsidRDefault="00C34B75" w:rsidP="00C34B75">
            <w:pPr>
              <w:spacing w:line="256" w:lineRule="auto"/>
              <w:rPr>
                <w:rFonts w:ascii="Calibri" w:eastAsia="Calibri" w:hAnsi="Calibri" w:cs="Times New Roman"/>
                <w:b/>
              </w:rPr>
            </w:pPr>
          </w:p>
          <w:p w14:paraId="1692197C" w14:textId="77777777" w:rsidR="00C34B75" w:rsidRPr="00C34B75" w:rsidRDefault="00C34B75" w:rsidP="00C34B75">
            <w:pPr>
              <w:spacing w:line="256" w:lineRule="auto"/>
              <w:rPr>
                <w:rFonts w:ascii="Calibri" w:eastAsia="Calibri" w:hAnsi="Calibri" w:cs="Times New Roman"/>
                <w:b/>
              </w:rPr>
            </w:pPr>
            <w:r w:rsidRPr="00C34B75">
              <w:rPr>
                <w:rFonts w:ascii="Calibri" w:eastAsia="Calibri" w:hAnsi="Calibri" w:cs="Times New Roman"/>
                <w:b/>
              </w:rPr>
              <w:t>Exclusion clients using NRT.</w:t>
            </w:r>
          </w:p>
          <w:p w14:paraId="7DE87845" w14:textId="77777777" w:rsidR="00C34B75" w:rsidRPr="00C34B75" w:rsidRDefault="00C34B75" w:rsidP="00C34B75">
            <w:pPr>
              <w:numPr>
                <w:ilvl w:val="0"/>
                <w:numId w:val="27"/>
              </w:numPr>
              <w:spacing w:line="256" w:lineRule="auto"/>
              <w:contextualSpacing/>
              <w:rPr>
                <w:rFonts w:ascii="Calibri" w:eastAsia="Calibri" w:hAnsi="Calibri" w:cs="Times New Roman"/>
              </w:rPr>
            </w:pPr>
            <w:r w:rsidRPr="00C34B75">
              <w:rPr>
                <w:rFonts w:ascii="Calibri" w:eastAsia="Calibri" w:hAnsi="Calibri" w:cs="Times New Roman"/>
              </w:rPr>
              <w:t xml:space="preserve">Children under the age of 16 years must be referred Smokefree Sefton to ensure compliance with Gillick competencies. </w:t>
            </w:r>
          </w:p>
          <w:p w14:paraId="5A5AE12E" w14:textId="77777777" w:rsidR="00C34B75" w:rsidRPr="00C34B75" w:rsidRDefault="00C34B75" w:rsidP="00C34B75">
            <w:pPr>
              <w:numPr>
                <w:ilvl w:val="0"/>
                <w:numId w:val="27"/>
              </w:numPr>
              <w:spacing w:line="256" w:lineRule="auto"/>
              <w:contextualSpacing/>
              <w:rPr>
                <w:rFonts w:ascii="Calibri" w:eastAsia="Calibri" w:hAnsi="Calibri" w:cs="Times New Roman"/>
              </w:rPr>
            </w:pPr>
            <w:r w:rsidRPr="00C34B75">
              <w:rPr>
                <w:rFonts w:ascii="Calibri" w:eastAsia="Calibri" w:hAnsi="Calibri" w:cs="Times New Roman"/>
              </w:rPr>
              <w:t>People who do not live or work in Sefton can be referred to their local Stop Smoking Service.</w:t>
            </w:r>
          </w:p>
          <w:p w14:paraId="6B7D9420" w14:textId="5F913B9D" w:rsidR="00C34B75" w:rsidRPr="00C34B75" w:rsidRDefault="449B091E" w:rsidP="2090584F">
            <w:pPr>
              <w:numPr>
                <w:ilvl w:val="0"/>
                <w:numId w:val="27"/>
              </w:numPr>
              <w:spacing w:line="256" w:lineRule="auto"/>
              <w:contextualSpacing/>
              <w:rPr>
                <w:rFonts w:ascii="Calibri" w:eastAsia="Calibri" w:hAnsi="Calibri" w:cs="Times New Roman"/>
              </w:rPr>
            </w:pPr>
            <w:r w:rsidRPr="2090584F">
              <w:rPr>
                <w:rFonts w:ascii="Calibri" w:eastAsia="Calibri" w:hAnsi="Calibri" w:cs="Times New Roman"/>
              </w:rPr>
              <w:t xml:space="preserve">Smokers with complex issues where the pharmacy advisor feels the client needs the intensive support provided by </w:t>
            </w:r>
            <w:r w:rsidR="21EF8B16" w:rsidRPr="2090584F">
              <w:rPr>
                <w:rFonts w:ascii="Calibri" w:eastAsia="Calibri" w:hAnsi="Calibri" w:cs="Times New Roman"/>
              </w:rPr>
              <w:t>Smokefree Sefton.</w:t>
            </w:r>
          </w:p>
          <w:p w14:paraId="4BA8777A" w14:textId="111E2883" w:rsidR="00C34B75" w:rsidRPr="00C34B75" w:rsidRDefault="00C34B75" w:rsidP="00C34B75">
            <w:pPr>
              <w:numPr>
                <w:ilvl w:val="0"/>
                <w:numId w:val="27"/>
              </w:numPr>
              <w:spacing w:line="256" w:lineRule="auto"/>
              <w:contextualSpacing/>
              <w:rPr>
                <w:rFonts w:ascii="Calibri" w:eastAsia="Calibri" w:hAnsi="Calibri" w:cs="Times New Roman"/>
              </w:rPr>
            </w:pPr>
            <w:r w:rsidRPr="00C34B75">
              <w:rPr>
                <w:rFonts w:ascii="Calibri" w:eastAsia="Calibri" w:hAnsi="Calibri" w:cs="Times New Roman"/>
              </w:rPr>
              <w:t>Clients who have had m</w:t>
            </w:r>
            <w:r w:rsidR="008D489A">
              <w:rPr>
                <w:rFonts w:ascii="Calibri" w:eastAsia="Calibri" w:hAnsi="Calibri" w:cs="Times New Roman"/>
              </w:rPr>
              <w:t>ore than 2</w:t>
            </w:r>
            <w:r w:rsidRPr="00C34B75">
              <w:rPr>
                <w:rFonts w:ascii="Calibri" w:eastAsia="Calibri" w:hAnsi="Calibri" w:cs="Times New Roman"/>
              </w:rPr>
              <w:t xml:space="preserve"> quit attempts</w:t>
            </w:r>
            <w:r w:rsidR="008D489A">
              <w:rPr>
                <w:rFonts w:ascii="Calibri" w:eastAsia="Calibri" w:hAnsi="Calibri" w:cs="Times New Roman"/>
              </w:rPr>
              <w:t xml:space="preserve"> in one year</w:t>
            </w:r>
            <w:r w:rsidRPr="00C34B75">
              <w:rPr>
                <w:rFonts w:ascii="Calibri" w:eastAsia="Calibri" w:hAnsi="Calibri" w:cs="Times New Roman"/>
              </w:rPr>
              <w:t xml:space="preserve"> should be referred to Smokefree Sefton.</w:t>
            </w:r>
          </w:p>
          <w:p w14:paraId="18FC53DF" w14:textId="77777777" w:rsidR="00C34B75" w:rsidRPr="00C34B75" w:rsidRDefault="00C34B75" w:rsidP="00C34B75">
            <w:pPr>
              <w:spacing w:line="256" w:lineRule="auto"/>
              <w:ind w:left="765"/>
              <w:contextualSpacing/>
              <w:rPr>
                <w:rFonts w:ascii="Calibri" w:eastAsia="Calibri" w:hAnsi="Calibri" w:cs="Times New Roman"/>
                <w:b/>
                <w:bCs/>
                <w:color w:val="FF0000"/>
              </w:rPr>
            </w:pPr>
            <w:r w:rsidRPr="00C34B75">
              <w:rPr>
                <w:rFonts w:ascii="Calibri" w:eastAsia="Calibri" w:hAnsi="Calibri" w:cs="Times New Roman"/>
                <w:b/>
                <w:bCs/>
                <w:color w:val="FF0000"/>
              </w:rPr>
              <w:t>Tel. 0300 100 1000</w:t>
            </w:r>
          </w:p>
          <w:p w14:paraId="232A4F9B" w14:textId="733B66E3" w:rsidR="00C34B75" w:rsidRPr="00C34B75" w:rsidRDefault="449B091E" w:rsidP="2090584F">
            <w:pPr>
              <w:numPr>
                <w:ilvl w:val="0"/>
                <w:numId w:val="27"/>
              </w:numPr>
              <w:spacing w:line="256" w:lineRule="auto"/>
              <w:contextualSpacing/>
              <w:rPr>
                <w:rFonts w:ascii="Calibri" w:eastAsia="Calibri" w:hAnsi="Calibri" w:cs="Times New Roman"/>
              </w:rPr>
            </w:pPr>
            <w:r w:rsidRPr="2090584F">
              <w:rPr>
                <w:rFonts w:ascii="Calibri" w:eastAsia="Calibri" w:hAnsi="Calibri" w:cs="Times New Roman"/>
              </w:rPr>
              <w:t>Clients who have medical conditions where the use of NRT is not appropriate</w:t>
            </w:r>
            <w:r w:rsidR="6A1BF573" w:rsidRPr="2090584F">
              <w:rPr>
                <w:rFonts w:ascii="Calibri" w:eastAsia="Calibri" w:hAnsi="Calibri" w:cs="Times New Roman"/>
              </w:rPr>
              <w:t xml:space="preserve"> should be referred to Smokefree Sefton.</w:t>
            </w:r>
          </w:p>
          <w:p w14:paraId="17B73C43" w14:textId="533D77BE" w:rsidR="00C34B75" w:rsidRPr="00190D1E" w:rsidRDefault="00C34B75" w:rsidP="00190D1E">
            <w:pPr>
              <w:numPr>
                <w:ilvl w:val="0"/>
                <w:numId w:val="27"/>
              </w:numPr>
              <w:spacing w:line="256" w:lineRule="auto"/>
              <w:contextualSpacing/>
              <w:rPr>
                <w:rFonts w:ascii="Calibri" w:eastAsia="Calibri" w:hAnsi="Calibri" w:cs="Times New Roman"/>
              </w:rPr>
            </w:pPr>
            <w:r w:rsidRPr="00C34B75">
              <w:rPr>
                <w:rFonts w:ascii="Calibri" w:eastAsia="Calibri" w:hAnsi="Calibri" w:cs="Times New Roman"/>
              </w:rPr>
              <w:t>Pregnant and breastfeeding women.</w:t>
            </w:r>
          </w:p>
          <w:p w14:paraId="6B8F8A6A" w14:textId="77777777" w:rsidR="00C34B75" w:rsidRPr="00C34B75" w:rsidRDefault="00C34B75" w:rsidP="00C34B75">
            <w:pPr>
              <w:spacing w:line="256" w:lineRule="auto"/>
              <w:rPr>
                <w:rFonts w:ascii="Calibri" w:eastAsia="Calibri" w:hAnsi="Calibri" w:cs="Times New Roman"/>
                <w:b/>
                <w:bCs/>
              </w:rPr>
            </w:pPr>
          </w:p>
          <w:p w14:paraId="7CBDE78F" w14:textId="3B5D2429" w:rsidR="00C34B75" w:rsidRPr="00C34B75" w:rsidRDefault="00C34B75" w:rsidP="00C34B75">
            <w:pPr>
              <w:spacing w:line="256" w:lineRule="auto"/>
              <w:rPr>
                <w:rFonts w:ascii="Calibri" w:eastAsia="Calibri" w:hAnsi="Calibri" w:cs="Times New Roman"/>
                <w:b/>
                <w:bCs/>
              </w:rPr>
            </w:pPr>
            <w:r w:rsidRPr="00C34B75">
              <w:rPr>
                <w:rFonts w:ascii="Calibri" w:eastAsia="Calibri" w:hAnsi="Calibri" w:cs="Times New Roman"/>
                <w:b/>
                <w:bCs/>
              </w:rPr>
              <w:t xml:space="preserve"> Response time:</w:t>
            </w:r>
          </w:p>
          <w:p w14:paraId="1C695E40" w14:textId="0348C008" w:rsidR="00C34B75" w:rsidRPr="00C34B75" w:rsidRDefault="449B091E" w:rsidP="00C34B75">
            <w:pPr>
              <w:spacing w:line="256" w:lineRule="auto"/>
              <w:rPr>
                <w:rFonts w:ascii="Calibri" w:eastAsia="Calibri" w:hAnsi="Calibri" w:cs="Times New Roman"/>
              </w:rPr>
            </w:pPr>
            <w:r w:rsidRPr="2090584F">
              <w:rPr>
                <w:rFonts w:ascii="Calibri" w:eastAsia="Calibri" w:hAnsi="Calibri" w:cs="Times New Roman"/>
              </w:rPr>
              <w:t xml:space="preserve">It is essential that the service is reactive to need and therefore clients must be contacted within </w:t>
            </w:r>
            <w:r w:rsidR="27E3E8BD" w:rsidRPr="2090584F">
              <w:rPr>
                <w:rFonts w:ascii="Calibri" w:eastAsia="Calibri" w:hAnsi="Calibri" w:cs="Times New Roman"/>
              </w:rPr>
              <w:t xml:space="preserve">2 </w:t>
            </w:r>
            <w:r w:rsidRPr="2090584F">
              <w:rPr>
                <w:rFonts w:ascii="Calibri" w:eastAsia="Calibri" w:hAnsi="Calibri" w:cs="Times New Roman"/>
              </w:rPr>
              <w:t>working day</w:t>
            </w:r>
            <w:r w:rsidR="27E3E8BD" w:rsidRPr="2090584F">
              <w:rPr>
                <w:rFonts w:ascii="Calibri" w:eastAsia="Calibri" w:hAnsi="Calibri" w:cs="Times New Roman"/>
              </w:rPr>
              <w:t>s</w:t>
            </w:r>
            <w:r w:rsidRPr="2090584F">
              <w:rPr>
                <w:rFonts w:ascii="Calibri" w:eastAsia="Calibri" w:hAnsi="Calibri" w:cs="Times New Roman"/>
              </w:rPr>
              <w:t xml:space="preserve"> on receipt of the referral and seen within </w:t>
            </w:r>
            <w:r w:rsidR="743F0E0E" w:rsidRPr="2090584F">
              <w:rPr>
                <w:rFonts w:ascii="Calibri" w:eastAsia="Calibri" w:hAnsi="Calibri" w:cs="Times New Roman"/>
              </w:rPr>
              <w:t>1 week</w:t>
            </w:r>
            <w:r w:rsidRPr="2090584F">
              <w:rPr>
                <w:rFonts w:ascii="Calibri" w:eastAsia="Calibri" w:hAnsi="Calibri" w:cs="Times New Roman"/>
              </w:rPr>
              <w:t xml:space="preserve">. When this timeframe cannot be met the client must be referred to Smokefree Sefton. </w:t>
            </w:r>
            <w:r w:rsidRPr="2090584F">
              <w:rPr>
                <w:rFonts w:ascii="Calibri" w:eastAsia="Calibri" w:hAnsi="Calibri" w:cs="Times New Roman"/>
                <w:b/>
                <w:bCs/>
                <w:color w:val="FF0000"/>
              </w:rPr>
              <w:t>Tel. 0300 100 1000</w:t>
            </w:r>
          </w:p>
          <w:p w14:paraId="11517620" w14:textId="77777777" w:rsidR="00C34B75" w:rsidRPr="00C34B75" w:rsidRDefault="00C34B75" w:rsidP="00C34B75">
            <w:pPr>
              <w:spacing w:line="256" w:lineRule="auto"/>
              <w:rPr>
                <w:rFonts w:ascii="Calibri" w:eastAsia="Calibri" w:hAnsi="Calibri" w:cs="Times New Roman"/>
              </w:rPr>
            </w:pPr>
          </w:p>
          <w:p w14:paraId="0726F369" w14:textId="77777777" w:rsidR="00420DB8" w:rsidRDefault="00C34B75" w:rsidP="00FD4C58">
            <w:pPr>
              <w:spacing w:line="256" w:lineRule="auto"/>
              <w:rPr>
                <w:rFonts w:ascii="Calibri" w:eastAsia="Calibri" w:hAnsi="Calibri" w:cs="Times New Roman"/>
              </w:rPr>
            </w:pPr>
            <w:r w:rsidRPr="00C34B75">
              <w:rPr>
                <w:rFonts w:ascii="Calibri" w:eastAsia="Calibri" w:hAnsi="Calibri" w:cs="Times New Roman"/>
              </w:rPr>
              <w:t>To allow ease of access to service provision, it is anticipated that pharmacies offer a range of appointment times throughout the day, where possible evening appointments could be facilitated.</w:t>
            </w:r>
          </w:p>
          <w:p w14:paraId="6469554E" w14:textId="18FBB0F3" w:rsidR="00FD4C58" w:rsidRPr="00FD4C58" w:rsidRDefault="00FD4C58" w:rsidP="00FD4C58">
            <w:pPr>
              <w:spacing w:line="256" w:lineRule="auto"/>
              <w:rPr>
                <w:rFonts w:ascii="Calibri" w:eastAsia="Calibri" w:hAnsi="Calibri" w:cs="Times New Roman"/>
              </w:rPr>
            </w:pPr>
          </w:p>
        </w:tc>
      </w:tr>
      <w:tr w:rsidR="006D51A2" w14:paraId="34C8D50D" w14:textId="77777777" w:rsidTr="2FAFE03E">
        <w:tc>
          <w:tcPr>
            <w:tcW w:w="10141" w:type="dxa"/>
            <w:shd w:val="clear" w:color="auto" w:fill="FFFFFF" w:themeFill="background1"/>
          </w:tcPr>
          <w:p w14:paraId="48C12582" w14:textId="51E9BB72" w:rsidR="006D51A2" w:rsidRPr="00A045A1" w:rsidRDefault="00C34B75" w:rsidP="006D51A2">
            <w:pPr>
              <w:rPr>
                <w:b/>
                <w:bCs/>
              </w:rPr>
            </w:pPr>
            <w:r w:rsidRPr="00C34B75">
              <w:rPr>
                <w:b/>
                <w:bCs/>
              </w:rPr>
              <w:t xml:space="preserve">Training and accreditation </w:t>
            </w:r>
            <w:r w:rsidR="00A045A1" w:rsidRPr="00C34B75">
              <w:rPr>
                <w:b/>
                <w:bCs/>
              </w:rPr>
              <w:t>are</w:t>
            </w:r>
            <w:r w:rsidRPr="00C34B75">
              <w:rPr>
                <w:b/>
                <w:bCs/>
              </w:rPr>
              <w:t xml:space="preserve"> only applicable for Options 2.</w:t>
            </w:r>
          </w:p>
        </w:tc>
      </w:tr>
      <w:tr w:rsidR="006D51A2" w14:paraId="58780A7C" w14:textId="77777777" w:rsidTr="2FAFE03E">
        <w:tc>
          <w:tcPr>
            <w:tcW w:w="10141" w:type="dxa"/>
          </w:tcPr>
          <w:p w14:paraId="170791F5" w14:textId="77777777" w:rsidR="006D51A2" w:rsidRPr="0057724F" w:rsidRDefault="006D51A2" w:rsidP="0057724F">
            <w:pPr>
              <w:rPr>
                <w:b/>
              </w:rPr>
            </w:pPr>
          </w:p>
          <w:p w14:paraId="18771589" w14:textId="6DAC9D31" w:rsidR="006D51A2" w:rsidRDefault="006D51A2" w:rsidP="006D51A2">
            <w:pPr>
              <w:rPr>
                <w:rStyle w:val="Hyperlink"/>
              </w:rPr>
            </w:pPr>
            <w:r>
              <w:t xml:space="preserve">Pharmacy staff providing Smoking Cessation Services must be trained to National Centre for Smoking Centre Training (NCSCT) standards and be assessed as competent to deliver a quality assured service. </w:t>
            </w:r>
            <w:hyperlink r:id="rId12" w:history="1">
              <w:r w:rsidRPr="0066206A">
                <w:rPr>
                  <w:rStyle w:val="Hyperlink"/>
                </w:rPr>
                <w:t>www.ncsct.co.uk</w:t>
              </w:r>
            </w:hyperlink>
          </w:p>
          <w:p w14:paraId="2B81DEB8" w14:textId="77777777" w:rsidR="006D51A2" w:rsidRDefault="006D51A2" w:rsidP="006D51A2"/>
          <w:p w14:paraId="54A424F7" w14:textId="64CC7A2C" w:rsidR="00A9107F" w:rsidRDefault="20915262" w:rsidP="006D51A2">
            <w:r>
              <w:t xml:space="preserve">Accreditation is gained by completing </w:t>
            </w:r>
            <w:r w:rsidRPr="2090584F">
              <w:rPr>
                <w:b/>
                <w:bCs/>
              </w:rPr>
              <w:t>all</w:t>
            </w:r>
            <w:r>
              <w:t xml:space="preserve"> NCSCT online assessment training</w:t>
            </w:r>
            <w:r w:rsidR="00060490">
              <w:t xml:space="preserve">, plus either </w:t>
            </w:r>
            <w:r>
              <w:t>attend</w:t>
            </w:r>
            <w:r w:rsidR="00060490">
              <w:t>ance</w:t>
            </w:r>
            <w:r>
              <w:t xml:space="preserve"> </w:t>
            </w:r>
            <w:r w:rsidR="00060490">
              <w:t xml:space="preserve">at a </w:t>
            </w:r>
            <w:r w:rsidR="6499BDB9">
              <w:t>1</w:t>
            </w:r>
            <w:r>
              <w:t xml:space="preserve">-day face to face training course </w:t>
            </w:r>
            <w:r w:rsidR="60DDDC36" w:rsidRPr="00060490">
              <w:rPr>
                <w:b/>
                <w:bCs/>
              </w:rPr>
              <w:t>or</w:t>
            </w:r>
            <w:r w:rsidR="60DDDC36">
              <w:t xml:space="preserve"> by completing </w:t>
            </w:r>
            <w:proofErr w:type="spellStart"/>
            <w:r w:rsidR="60DDDC36">
              <w:t>pre recorded</w:t>
            </w:r>
            <w:proofErr w:type="spellEnd"/>
            <w:r w:rsidR="60DDDC36">
              <w:t xml:space="preserve"> training modules, </w:t>
            </w:r>
            <w:r>
              <w:t>followed by assessment and supervision</w:t>
            </w:r>
            <w:r w:rsidR="00060490">
              <w:t xml:space="preserve"> by Smokefree Sefton staff.</w:t>
            </w:r>
          </w:p>
          <w:p w14:paraId="60D923B8" w14:textId="62ECB00B" w:rsidR="00A9107F" w:rsidRDefault="00A9107F" w:rsidP="006D51A2"/>
          <w:p w14:paraId="338381A5" w14:textId="30E1FEA1" w:rsidR="00A913EC" w:rsidRPr="00A913EC" w:rsidRDefault="00A913EC" w:rsidP="00A913EC">
            <w:r w:rsidRPr="00A913EC">
              <w:t>NCSCT online only.  </w:t>
            </w:r>
            <w:r w:rsidR="00AB6F22">
              <w:t xml:space="preserve">ABL Health </w:t>
            </w:r>
            <w:r w:rsidRPr="00A913EC">
              <w:t xml:space="preserve">remote modular training replaces the need for F2F although we can still offer this if they wish to.  All will go for the drop in online "at your pace" offering </w:t>
            </w:r>
          </w:p>
          <w:p w14:paraId="4766B9EA" w14:textId="571177D3" w:rsidR="00A9107F" w:rsidRDefault="00A9107F" w:rsidP="006D51A2"/>
          <w:p w14:paraId="1784FCB6" w14:textId="16FEC75A" w:rsidR="2090584F" w:rsidRDefault="2090584F"/>
          <w:p w14:paraId="05FAD498" w14:textId="63332913" w:rsidR="00A9107F" w:rsidRDefault="00A9107F" w:rsidP="006D51A2">
            <w:r>
              <w:lastRenderedPageBreak/>
              <w:t>Training for new advisors will be offered when there is a need. Please contact Smokefree Sefton.</w:t>
            </w:r>
          </w:p>
          <w:p w14:paraId="304A0A4B" w14:textId="4AF722B2" w:rsidR="006D51A2" w:rsidRDefault="006D51A2" w:rsidP="006D51A2">
            <w:r>
              <w:t>There will not be a charge for any training.</w:t>
            </w:r>
          </w:p>
          <w:p w14:paraId="2379A3BC" w14:textId="77777777" w:rsidR="006D51A2" w:rsidRDefault="006D51A2" w:rsidP="006D51A2"/>
          <w:p w14:paraId="7A4B4E4E" w14:textId="0E3F0E49" w:rsidR="000B26BC" w:rsidRDefault="006D51A2" w:rsidP="006D51A2">
            <w:r>
              <w:t xml:space="preserve">To ensure competence and confidence in practice, all individual staff should </w:t>
            </w:r>
            <w:r w:rsidR="00190D1E">
              <w:t>support</w:t>
            </w:r>
            <w:r>
              <w:t xml:space="preserve"> no less than </w:t>
            </w:r>
            <w:r w:rsidR="0054528F">
              <w:t>2</w:t>
            </w:r>
            <w:r>
              <w:t xml:space="preserve">0 clients to </w:t>
            </w:r>
            <w:r w:rsidR="008D4D5C">
              <w:t xml:space="preserve">try to </w:t>
            </w:r>
            <w:r>
              <w:t>be smoke free annually. (NCSCT guidance)</w:t>
            </w:r>
            <w:r w:rsidR="00DA1B97">
              <w:t xml:space="preserve"> </w:t>
            </w:r>
            <w:r w:rsidR="008E56D9">
              <w:t xml:space="preserve">The number of training sessions delivered by Smokefree Sefton will consider </w:t>
            </w:r>
            <w:r w:rsidR="00E458CA">
              <w:t>this compliance and the necessary geographical spread across Sefton.</w:t>
            </w:r>
          </w:p>
          <w:p w14:paraId="4F123A4F" w14:textId="77777777" w:rsidR="006D51A2" w:rsidRDefault="006D51A2" w:rsidP="006D51A2"/>
          <w:p w14:paraId="0953BF3F" w14:textId="7770D09C" w:rsidR="006D51A2" w:rsidRDefault="006D51A2" w:rsidP="006D51A2">
            <w:r>
              <w:t>If an advisor has not delivered the service in compliance with the NCSCT guidance and has not attended</w:t>
            </w:r>
            <w:r w:rsidR="00060490">
              <w:t xml:space="preserve"> or completed</w:t>
            </w:r>
            <w:r>
              <w:t xml:space="preserve"> </w:t>
            </w:r>
            <w:r w:rsidR="00D62DEB">
              <w:t xml:space="preserve">face to face or online </w:t>
            </w:r>
            <w:r>
              <w:t>update training</w:t>
            </w:r>
            <w:r w:rsidR="00060490">
              <w:t>,</w:t>
            </w:r>
            <w:r>
              <w:t xml:space="preserve"> their name will be removed from the Smokefree </w:t>
            </w:r>
            <w:r w:rsidR="009B3F1D">
              <w:t>Sefton</w:t>
            </w:r>
            <w:r>
              <w:t xml:space="preserve"> register of Pharmacy advisors.</w:t>
            </w:r>
          </w:p>
          <w:p w14:paraId="6CDC7F7E" w14:textId="77777777" w:rsidR="006D51A2" w:rsidRDefault="006D51A2" w:rsidP="006D51A2"/>
          <w:p w14:paraId="6213FA09" w14:textId="43B4A1FF" w:rsidR="006D51A2" w:rsidRDefault="006D51A2" w:rsidP="006D51A2">
            <w:r>
              <w:t xml:space="preserve">Smokefree </w:t>
            </w:r>
            <w:r w:rsidR="009B3F1D">
              <w:t>Sefton</w:t>
            </w:r>
            <w:r>
              <w:t xml:space="preserve"> will provide update training / peer supervision </w:t>
            </w:r>
            <w:r w:rsidR="00016B25">
              <w:t xml:space="preserve">annually </w:t>
            </w:r>
            <w:r>
              <w:t xml:space="preserve">for this will </w:t>
            </w:r>
            <w:r w:rsidR="00F71485">
              <w:t>cover: -</w:t>
            </w:r>
          </w:p>
          <w:p w14:paraId="336C0F73" w14:textId="77777777" w:rsidR="006D51A2" w:rsidRDefault="006D51A2" w:rsidP="006D51A2">
            <w:pPr>
              <w:pStyle w:val="ListParagraph"/>
              <w:numPr>
                <w:ilvl w:val="0"/>
                <w:numId w:val="6"/>
              </w:numPr>
            </w:pPr>
            <w:r>
              <w:t>New research</w:t>
            </w:r>
          </w:p>
          <w:p w14:paraId="539982FF" w14:textId="77777777" w:rsidR="006D51A2" w:rsidRDefault="006D51A2" w:rsidP="006D51A2">
            <w:pPr>
              <w:pStyle w:val="ListParagraph"/>
              <w:numPr>
                <w:ilvl w:val="0"/>
                <w:numId w:val="6"/>
              </w:numPr>
            </w:pPr>
            <w:r>
              <w:t>Medication</w:t>
            </w:r>
          </w:p>
          <w:p w14:paraId="434350C5" w14:textId="77777777" w:rsidR="006D51A2" w:rsidRDefault="006D51A2" w:rsidP="006D51A2">
            <w:pPr>
              <w:pStyle w:val="ListParagraph"/>
              <w:numPr>
                <w:ilvl w:val="0"/>
                <w:numId w:val="6"/>
              </w:numPr>
            </w:pPr>
            <w:r>
              <w:t>Communication systems</w:t>
            </w:r>
          </w:p>
          <w:p w14:paraId="087E7122" w14:textId="77777777" w:rsidR="006D51A2" w:rsidRDefault="006D51A2" w:rsidP="006D51A2">
            <w:pPr>
              <w:pStyle w:val="ListParagraph"/>
              <w:numPr>
                <w:ilvl w:val="0"/>
                <w:numId w:val="6"/>
              </w:numPr>
            </w:pPr>
            <w:r>
              <w:t xml:space="preserve">Feedback on performance for each pharmacy </w:t>
            </w:r>
          </w:p>
          <w:p w14:paraId="75C6D77A" w14:textId="2ACE985A" w:rsidR="006D51A2" w:rsidRDefault="006D51A2" w:rsidP="006D51A2">
            <w:pPr>
              <w:pStyle w:val="ListParagraph"/>
              <w:numPr>
                <w:ilvl w:val="0"/>
                <w:numId w:val="6"/>
              </w:numPr>
            </w:pPr>
            <w:r>
              <w:t xml:space="preserve">Provide the opportunity to discuss any challenges and share good </w:t>
            </w:r>
            <w:r w:rsidR="00FF6A4F">
              <w:t>practice.</w:t>
            </w:r>
          </w:p>
          <w:p w14:paraId="4E1471F5" w14:textId="1A5A6E03" w:rsidR="00016B25" w:rsidRDefault="00016B25" w:rsidP="00016B25"/>
          <w:p w14:paraId="4B1799A8" w14:textId="3C5C292D" w:rsidR="00F71485" w:rsidRDefault="743F0E0E" w:rsidP="00016B25">
            <w:r>
              <w:t>CO monitors used now in service do not require calibration.</w:t>
            </w:r>
          </w:p>
          <w:p w14:paraId="444AB5E1" w14:textId="77777777" w:rsidR="00016B25" w:rsidRDefault="00016B25" w:rsidP="00016B25"/>
          <w:p w14:paraId="4194F1ED" w14:textId="01304266" w:rsidR="0094459C" w:rsidRDefault="006D51A2" w:rsidP="006D51A2">
            <w:r>
              <w:t>In addition to update training, opportunities will arise for staff to attend specific topical training to enhance their practice.</w:t>
            </w:r>
          </w:p>
          <w:p w14:paraId="120E42F7" w14:textId="77777777" w:rsidR="00E818D0" w:rsidRDefault="00E818D0" w:rsidP="006D51A2"/>
          <w:p w14:paraId="4FD1CD54" w14:textId="461B949F" w:rsidR="00467BA9" w:rsidRDefault="6BDC612A" w:rsidP="006D51A2">
            <w:r>
              <w:t xml:space="preserve">After specific vape training, staff </w:t>
            </w:r>
            <w:r w:rsidR="41895BA7">
              <w:t>can</w:t>
            </w:r>
            <w:r>
              <w:t xml:space="preserve"> </w:t>
            </w:r>
            <w:r w:rsidR="09F8813B">
              <w:t xml:space="preserve">offer behavioural </w:t>
            </w:r>
            <w:r>
              <w:t xml:space="preserve">support </w:t>
            </w:r>
            <w:r w:rsidR="46315AB1">
              <w:t xml:space="preserve">to </w:t>
            </w:r>
            <w:r>
              <w:t>clients who want to provide their own vapes to support their quit. However, it is important to ensure staff ar</w:t>
            </w:r>
            <w:r w:rsidR="60B19E1B">
              <w:t>e up to date with national guidance. Documentation will be shared to ensure this is availabl</w:t>
            </w:r>
            <w:r w:rsidR="32A785C3">
              <w:t xml:space="preserve">e: </w:t>
            </w:r>
            <w:hyperlink r:id="rId13">
              <w:r w:rsidR="32A785C3" w:rsidRPr="2090584F">
                <w:rPr>
                  <w:rStyle w:val="Hyperlink"/>
                </w:rPr>
                <w:t>https://www.ncsct.co.uk/publications/Vaping_briefing</w:t>
              </w:r>
            </w:hyperlink>
          </w:p>
          <w:p w14:paraId="368E4D0E" w14:textId="77777777" w:rsidR="001F4894" w:rsidRDefault="001F4894" w:rsidP="006D51A2"/>
          <w:p w14:paraId="0C7E0B38" w14:textId="18888B71" w:rsidR="00F71485" w:rsidRDefault="00016B25" w:rsidP="006D51A2">
            <w:r>
              <w:t>Training will be delivered</w:t>
            </w:r>
            <w:r w:rsidR="00A26AB3">
              <w:t xml:space="preserve"> in a format most appropriate to what</w:t>
            </w:r>
            <w:r w:rsidR="004A2558">
              <w:t xml:space="preserve"> content</w:t>
            </w:r>
            <w:r w:rsidR="00A26AB3">
              <w:t xml:space="preserve"> is being delivered and which complies to national standards</w:t>
            </w:r>
            <w:r w:rsidR="00D55D9D">
              <w:t>.</w:t>
            </w:r>
            <w:r w:rsidR="00B45ADD">
              <w:t xml:space="preserve"> When appropriate </w:t>
            </w:r>
            <w:r w:rsidR="00D37D05">
              <w:t xml:space="preserve">additional </w:t>
            </w:r>
            <w:r w:rsidR="00B45ADD">
              <w:t>training</w:t>
            </w:r>
            <w:r w:rsidR="00D37D05">
              <w:t xml:space="preserve"> may be provided to complement </w:t>
            </w:r>
            <w:r w:rsidR="00DD7FA0">
              <w:t xml:space="preserve">face to face or modular training and will </w:t>
            </w:r>
            <w:r w:rsidR="00A26AB3">
              <w:t>be delivered</w:t>
            </w:r>
            <w:r>
              <w:t xml:space="preserve"> at times most convenient to the pharmac</w:t>
            </w:r>
            <w:r w:rsidR="00A115B7">
              <w:t xml:space="preserve">y staff, </w:t>
            </w:r>
            <w:r w:rsidR="00DD7FA0">
              <w:t xml:space="preserve">which could </w:t>
            </w:r>
            <w:r w:rsidR="00A115B7">
              <w:t>includ</w:t>
            </w:r>
            <w:r w:rsidR="00F84569">
              <w:t>e</w:t>
            </w:r>
            <w:r w:rsidR="00A115B7">
              <w:t xml:space="preserve"> evenings.</w:t>
            </w:r>
          </w:p>
          <w:p w14:paraId="0E2CF075" w14:textId="77777777" w:rsidR="006D51A2" w:rsidRDefault="006D51A2" w:rsidP="006D51A2"/>
          <w:p w14:paraId="5958F9F0" w14:textId="77777777" w:rsidR="006D5379" w:rsidRDefault="006D5379" w:rsidP="006D51A2">
            <w:pPr>
              <w:rPr>
                <w:b/>
                <w:bCs/>
                <w:color w:val="FF0000"/>
              </w:rPr>
            </w:pPr>
            <w:r>
              <w:t xml:space="preserve">Support will be readily available from Smokefree Sefton Specialist Stop Smoking Service. </w:t>
            </w:r>
            <w:r w:rsidRPr="006D5379">
              <w:rPr>
                <w:b/>
                <w:bCs/>
                <w:color w:val="FF0000"/>
              </w:rPr>
              <w:t>Tel. 0300 100 1000</w:t>
            </w:r>
          </w:p>
          <w:p w14:paraId="4464575B" w14:textId="4A55D1A8" w:rsidR="00E02138" w:rsidRPr="000853F1" w:rsidRDefault="00E02138" w:rsidP="006D51A2"/>
        </w:tc>
      </w:tr>
      <w:tr w:rsidR="0094459C" w14:paraId="4C6C7A59" w14:textId="77777777" w:rsidTr="2FAFE03E">
        <w:tc>
          <w:tcPr>
            <w:tcW w:w="10141" w:type="dxa"/>
            <w:shd w:val="clear" w:color="auto" w:fill="FFFFFF" w:themeFill="background1"/>
          </w:tcPr>
          <w:p w14:paraId="69DC8879" w14:textId="7CD04CAB" w:rsidR="0094459C" w:rsidRPr="00A045A1" w:rsidRDefault="00AF199F" w:rsidP="002C2F61">
            <w:pPr>
              <w:tabs>
                <w:tab w:val="left" w:pos="1710"/>
              </w:tabs>
              <w:rPr>
                <w:b/>
                <w:bCs/>
              </w:rPr>
            </w:pPr>
            <w:r w:rsidRPr="00A045A1">
              <w:rPr>
                <w:b/>
                <w:bCs/>
              </w:rPr>
              <w:lastRenderedPageBreak/>
              <w:t>7</w:t>
            </w:r>
            <w:r w:rsidR="002C2F61" w:rsidRPr="00A045A1">
              <w:rPr>
                <w:b/>
                <w:bCs/>
              </w:rPr>
              <w:t>.</w:t>
            </w:r>
            <w:r w:rsidR="0094459C" w:rsidRPr="00A045A1">
              <w:rPr>
                <w:b/>
                <w:bCs/>
              </w:rPr>
              <w:t>Performance monitoring</w:t>
            </w:r>
            <w:r w:rsidR="00420DB8" w:rsidRPr="00A045A1">
              <w:rPr>
                <w:b/>
                <w:bCs/>
              </w:rPr>
              <w:t xml:space="preserve"> (Option 2)</w:t>
            </w:r>
          </w:p>
        </w:tc>
      </w:tr>
      <w:tr w:rsidR="006D51A2" w14:paraId="50D193D2" w14:textId="77777777" w:rsidTr="2FAFE03E">
        <w:tc>
          <w:tcPr>
            <w:tcW w:w="10141" w:type="dxa"/>
          </w:tcPr>
          <w:p w14:paraId="163F5AC5" w14:textId="77777777" w:rsidR="0094459C" w:rsidRPr="009132C4" w:rsidRDefault="0094459C" w:rsidP="0094459C"/>
          <w:p w14:paraId="1789F263" w14:textId="130147F4" w:rsidR="0094459C" w:rsidRPr="009132C4" w:rsidRDefault="0094459C" w:rsidP="0094459C">
            <w:r w:rsidRPr="009132C4">
              <w:t>The P</w:t>
            </w:r>
            <w:r>
              <w:t>harmacy staff must adhere to</w:t>
            </w:r>
            <w:r w:rsidRPr="009132C4">
              <w:t xml:space="preserve"> service </w:t>
            </w:r>
            <w:r>
              <w:t xml:space="preserve">delivery </w:t>
            </w:r>
            <w:r w:rsidR="00FF6A4F">
              <w:t>protocols.</w:t>
            </w:r>
          </w:p>
          <w:p w14:paraId="222489FF" w14:textId="6AC5D5B3" w:rsidR="0094459C" w:rsidRDefault="0094459C" w:rsidP="0094459C">
            <w:r>
              <w:t>ABL Health Ltd</w:t>
            </w:r>
            <w:r w:rsidRPr="009132C4">
              <w:t xml:space="preserve"> reserves the right t</w:t>
            </w:r>
            <w:r>
              <w:t xml:space="preserve">o monitor all parts </w:t>
            </w:r>
            <w:r w:rsidRPr="009132C4">
              <w:t xml:space="preserve">of the service delivered by the </w:t>
            </w:r>
            <w:r w:rsidR="004A2558">
              <w:t>p</w:t>
            </w:r>
            <w:r w:rsidRPr="009132C4">
              <w:t>harmacy to ensure the quality of the service continues.</w:t>
            </w:r>
          </w:p>
          <w:p w14:paraId="7118484A" w14:textId="24370CE2" w:rsidR="006D51A2" w:rsidRDefault="0094459C" w:rsidP="0094459C">
            <w:r>
              <w:t>Ongoing support will be given by Smokefree</w:t>
            </w:r>
            <w:r w:rsidR="009B3F1D">
              <w:t xml:space="preserve"> Sefton</w:t>
            </w:r>
            <w:r>
              <w:t>.</w:t>
            </w:r>
          </w:p>
          <w:p w14:paraId="7AD98A26" w14:textId="77777777" w:rsidR="00430103" w:rsidRPr="00430103" w:rsidRDefault="00430103" w:rsidP="00430103">
            <w:r w:rsidRPr="00430103">
              <w:t>Quarterly review meetings shall be held between LPC and ABL Health to monitor performance, review progress against agreed objectives, and support ongoing collaborative working.</w:t>
            </w:r>
          </w:p>
          <w:p w14:paraId="507D1AFD" w14:textId="77777777" w:rsidR="00430103" w:rsidRDefault="00430103" w:rsidP="004D2423"/>
          <w:p w14:paraId="78D28684" w14:textId="77777777" w:rsidR="004D2423" w:rsidRDefault="004D2423" w:rsidP="004D2423"/>
          <w:p w14:paraId="1923C000" w14:textId="77777777" w:rsidR="00CB7E37" w:rsidRDefault="00CB7E37" w:rsidP="004D2423"/>
          <w:p w14:paraId="7BD2609E" w14:textId="5F78C41A" w:rsidR="00CB7E37" w:rsidRPr="000853F1" w:rsidRDefault="00CB7E37" w:rsidP="004D2423"/>
        </w:tc>
      </w:tr>
      <w:tr w:rsidR="0094459C" w14:paraId="726E848B" w14:textId="77777777" w:rsidTr="2FAFE03E">
        <w:tc>
          <w:tcPr>
            <w:tcW w:w="10141" w:type="dxa"/>
            <w:shd w:val="clear" w:color="auto" w:fill="FFFFFF" w:themeFill="background1"/>
          </w:tcPr>
          <w:p w14:paraId="08605376" w14:textId="317A6E88" w:rsidR="0094459C" w:rsidRPr="00A045A1" w:rsidRDefault="00AF199F" w:rsidP="0094459C">
            <w:pPr>
              <w:rPr>
                <w:b/>
                <w:bCs/>
              </w:rPr>
            </w:pPr>
            <w:r w:rsidRPr="00A045A1">
              <w:rPr>
                <w:b/>
                <w:bCs/>
              </w:rPr>
              <w:lastRenderedPageBreak/>
              <w:t>8</w:t>
            </w:r>
            <w:r w:rsidR="002C2F61" w:rsidRPr="00A045A1">
              <w:rPr>
                <w:b/>
                <w:bCs/>
              </w:rPr>
              <w:t>.</w:t>
            </w:r>
            <w:r w:rsidR="0094459C" w:rsidRPr="00A045A1">
              <w:rPr>
                <w:b/>
                <w:bCs/>
              </w:rPr>
              <w:t>Pharmacotherapy</w:t>
            </w:r>
            <w:r w:rsidR="00A75FB5" w:rsidRPr="00A045A1">
              <w:rPr>
                <w:b/>
                <w:bCs/>
              </w:rPr>
              <w:t xml:space="preserve"> (Option 1 and 2)</w:t>
            </w:r>
          </w:p>
        </w:tc>
      </w:tr>
      <w:tr w:rsidR="0094459C" w14:paraId="6911E21D" w14:textId="77777777" w:rsidTr="2FAFE03E">
        <w:tc>
          <w:tcPr>
            <w:tcW w:w="10141" w:type="dxa"/>
          </w:tcPr>
          <w:p w14:paraId="2C2D16B5" w14:textId="28BC532A" w:rsidR="0094459C" w:rsidRPr="00B52B5E" w:rsidRDefault="0094459C" w:rsidP="009B3F1D"/>
          <w:p w14:paraId="58CCF57E" w14:textId="75102F61" w:rsidR="0094459C" w:rsidRDefault="00AF199F" w:rsidP="00A97D9D">
            <w:r>
              <w:t>8</w:t>
            </w:r>
            <w:r w:rsidR="00A97D9D">
              <w:t xml:space="preserve">.1 </w:t>
            </w:r>
            <w:r w:rsidR="0094459C">
              <w:t>Practitioners can supply all forms of NRT following appropriate assessment.</w:t>
            </w:r>
          </w:p>
          <w:p w14:paraId="49F2D783" w14:textId="39FB164F" w:rsidR="0094459C" w:rsidRDefault="00AF199F" w:rsidP="00A97D9D">
            <w:r>
              <w:t>8</w:t>
            </w:r>
            <w:r w:rsidR="00A97D9D">
              <w:t xml:space="preserve">.2 </w:t>
            </w:r>
            <w:r w:rsidR="0094459C">
              <w:t>The practitioner is responsible to ensure the client meets the inclusion criteria for the supply of NRT.</w:t>
            </w:r>
          </w:p>
          <w:p w14:paraId="57FF4A90" w14:textId="6DC6A85A" w:rsidR="00A97D9D" w:rsidRDefault="00AF199F" w:rsidP="00A97D9D">
            <w:r>
              <w:t>8</w:t>
            </w:r>
            <w:r w:rsidR="00A97D9D">
              <w:t xml:space="preserve">.3 </w:t>
            </w:r>
            <w:r w:rsidR="0094459C">
              <w:t>Clients who are eligible to pay prescription charges will pay a fee for each item. These payments will be</w:t>
            </w:r>
          </w:p>
          <w:p w14:paraId="04429648" w14:textId="059E4E9A" w:rsidR="0094459C" w:rsidRDefault="00A97D9D" w:rsidP="00A97D9D">
            <w:r>
              <w:t xml:space="preserve">       deducted from the</w:t>
            </w:r>
            <w:r w:rsidR="0094459C">
              <w:t xml:space="preserve"> </w:t>
            </w:r>
            <w:r w:rsidR="007A78F7">
              <w:t>pharmacy reimbursement.</w:t>
            </w:r>
            <w:r>
              <w:t xml:space="preserve">                                                                                        </w:t>
            </w:r>
            <w:r w:rsidR="0094459C">
              <w:t xml:space="preserve">  </w:t>
            </w:r>
          </w:p>
          <w:p w14:paraId="098C0BE5" w14:textId="3CF9DFF7" w:rsidR="0094459C" w:rsidRDefault="0094459C" w:rsidP="00AF199F">
            <w:pPr>
              <w:pStyle w:val="ListParagraph"/>
              <w:numPr>
                <w:ilvl w:val="1"/>
                <w:numId w:val="28"/>
              </w:numPr>
            </w:pPr>
            <w:r>
              <w:t>Clients who are exempt from paying a prescription charge will not pay for NRT</w:t>
            </w:r>
            <w:r w:rsidR="009B3F1D">
              <w:t>. Proof must be</w:t>
            </w:r>
            <w:r w:rsidR="00D31332">
              <w:t xml:space="preserve"> seen</w:t>
            </w:r>
            <w:r w:rsidR="009B3F1D">
              <w:t xml:space="preserve"> by the practitioner.</w:t>
            </w:r>
          </w:p>
          <w:p w14:paraId="5CB10B75" w14:textId="2B366B6E" w:rsidR="0094459C" w:rsidRDefault="0094459C" w:rsidP="00AF199F">
            <w:pPr>
              <w:pStyle w:val="ListParagraph"/>
              <w:numPr>
                <w:ilvl w:val="1"/>
                <w:numId w:val="28"/>
              </w:numPr>
            </w:pPr>
            <w:r>
              <w:t xml:space="preserve">All </w:t>
            </w:r>
            <w:r w:rsidR="00D31332">
              <w:t xml:space="preserve">selected </w:t>
            </w:r>
            <w:r>
              <w:t>NRT, and</w:t>
            </w:r>
            <w:r w:rsidR="00FD4C58">
              <w:t xml:space="preserve"> emailed codes</w:t>
            </w:r>
            <w:r>
              <w:t xml:space="preserve"> must be recorded in the clients` records</w:t>
            </w:r>
            <w:r w:rsidR="00D31332">
              <w:t xml:space="preserve"> </w:t>
            </w:r>
            <w:r w:rsidR="00860971">
              <w:t xml:space="preserve">on </w:t>
            </w:r>
            <w:proofErr w:type="spellStart"/>
            <w:r w:rsidR="00860971">
              <w:t>PharmOutcomes</w:t>
            </w:r>
            <w:proofErr w:type="spellEnd"/>
            <w:r w:rsidR="00D31332">
              <w:t>.</w:t>
            </w:r>
          </w:p>
          <w:p w14:paraId="61B43EF6" w14:textId="77777777" w:rsidR="007B4DE6" w:rsidRDefault="007B4DE6" w:rsidP="0094459C">
            <w:pPr>
              <w:rPr>
                <w:b/>
              </w:rPr>
            </w:pPr>
          </w:p>
          <w:p w14:paraId="51717B07" w14:textId="23B512CD" w:rsidR="0094459C" w:rsidRPr="001A11C0" w:rsidRDefault="0094459C" w:rsidP="0094459C">
            <w:pPr>
              <w:rPr>
                <w:b/>
              </w:rPr>
            </w:pPr>
            <w:r>
              <w:rPr>
                <w:b/>
              </w:rPr>
              <w:t xml:space="preserve">NRT </w:t>
            </w:r>
            <w:r w:rsidRPr="00B6750D">
              <w:rPr>
                <w:b/>
              </w:rPr>
              <w:t>products dispensed</w:t>
            </w:r>
            <w:r>
              <w:rPr>
                <w:b/>
              </w:rPr>
              <w:t xml:space="preserve"> must be in accordance with those documented on </w:t>
            </w:r>
            <w:r w:rsidR="00FD4C58">
              <w:rPr>
                <w:b/>
              </w:rPr>
              <w:t xml:space="preserve">secure email </w:t>
            </w:r>
            <w:r w:rsidR="00CA0B2B">
              <w:rPr>
                <w:b/>
              </w:rPr>
              <w:t>sent from the Smokefree Sefton practitioner</w:t>
            </w:r>
            <w:r>
              <w:rPr>
                <w:b/>
              </w:rPr>
              <w:t>.</w:t>
            </w:r>
          </w:p>
          <w:p w14:paraId="14DFCEEC" w14:textId="227D7528" w:rsidR="0094459C" w:rsidRPr="000853F1" w:rsidRDefault="0094459C" w:rsidP="00D31332"/>
        </w:tc>
      </w:tr>
      <w:tr w:rsidR="0094459C" w14:paraId="588B4E40" w14:textId="77777777" w:rsidTr="2FAFE03E">
        <w:tc>
          <w:tcPr>
            <w:tcW w:w="10141" w:type="dxa"/>
            <w:shd w:val="clear" w:color="auto" w:fill="FFFFFF" w:themeFill="background1"/>
          </w:tcPr>
          <w:p w14:paraId="6B02768F" w14:textId="16408133" w:rsidR="0094459C" w:rsidRPr="00A045A1" w:rsidRDefault="00AF199F" w:rsidP="0094459C">
            <w:pPr>
              <w:rPr>
                <w:b/>
                <w:bCs/>
              </w:rPr>
            </w:pPr>
            <w:r w:rsidRPr="00A045A1">
              <w:rPr>
                <w:b/>
                <w:bCs/>
              </w:rPr>
              <w:t>9</w:t>
            </w:r>
            <w:r w:rsidR="00843F36" w:rsidRPr="00A045A1">
              <w:rPr>
                <w:b/>
                <w:bCs/>
              </w:rPr>
              <w:t>.</w:t>
            </w:r>
            <w:r w:rsidR="0094459C" w:rsidRPr="00A045A1">
              <w:rPr>
                <w:b/>
                <w:bCs/>
              </w:rPr>
              <w:t xml:space="preserve">Record </w:t>
            </w:r>
            <w:r w:rsidR="00467BA9" w:rsidRPr="00A045A1">
              <w:rPr>
                <w:b/>
                <w:bCs/>
              </w:rPr>
              <w:t>keeping (</w:t>
            </w:r>
            <w:r w:rsidR="00A75FB5" w:rsidRPr="00A045A1">
              <w:rPr>
                <w:b/>
                <w:bCs/>
              </w:rPr>
              <w:t>Option 2)</w:t>
            </w:r>
          </w:p>
        </w:tc>
      </w:tr>
      <w:tr w:rsidR="0094459C" w14:paraId="47286014" w14:textId="77777777" w:rsidTr="2FAFE03E">
        <w:tc>
          <w:tcPr>
            <w:tcW w:w="10141" w:type="dxa"/>
          </w:tcPr>
          <w:p w14:paraId="54D71FB3" w14:textId="77777777" w:rsidR="00843F36" w:rsidRDefault="00843F36" w:rsidP="00843F36">
            <w:pPr>
              <w:rPr>
                <w:bCs/>
              </w:rPr>
            </w:pPr>
          </w:p>
          <w:p w14:paraId="7512C55A" w14:textId="22B40094" w:rsidR="00362BAA" w:rsidRDefault="00843F36" w:rsidP="00843F36">
            <w:pPr>
              <w:rPr>
                <w:bCs/>
              </w:rPr>
            </w:pPr>
            <w:r>
              <w:rPr>
                <w:bCs/>
              </w:rPr>
              <w:t xml:space="preserve">  </w:t>
            </w:r>
            <w:r w:rsidR="00AF199F">
              <w:rPr>
                <w:bCs/>
              </w:rPr>
              <w:t>9</w:t>
            </w:r>
            <w:r w:rsidR="00232397">
              <w:rPr>
                <w:bCs/>
              </w:rPr>
              <w:t>.1</w:t>
            </w:r>
            <w:r>
              <w:rPr>
                <w:bCs/>
              </w:rPr>
              <w:t xml:space="preserve"> </w:t>
            </w:r>
            <w:r w:rsidR="0094459C" w:rsidRPr="00843F36">
              <w:rPr>
                <w:bCs/>
              </w:rPr>
              <w:t>Consent to treatment in line with GDPR (2018) must be agreed and documented</w:t>
            </w:r>
            <w:r w:rsidR="00362BAA">
              <w:rPr>
                <w:bCs/>
              </w:rPr>
              <w:t xml:space="preserve"> in the </w:t>
            </w:r>
            <w:r w:rsidR="00CA0B2B">
              <w:rPr>
                <w:bCs/>
              </w:rPr>
              <w:t>clients’</w:t>
            </w:r>
            <w:r w:rsidR="00362BAA">
              <w:rPr>
                <w:bCs/>
              </w:rPr>
              <w:t xml:space="preserve"> records</w:t>
            </w:r>
          </w:p>
          <w:p w14:paraId="22251C2B" w14:textId="18AE0DAA" w:rsidR="00362BAA" w:rsidRDefault="00362BAA" w:rsidP="00843F36">
            <w:pPr>
              <w:rPr>
                <w:bCs/>
              </w:rPr>
            </w:pPr>
            <w:r>
              <w:rPr>
                <w:bCs/>
              </w:rPr>
              <w:t xml:space="preserve">           on </w:t>
            </w:r>
            <w:proofErr w:type="spellStart"/>
            <w:r w:rsidR="00BC6755">
              <w:rPr>
                <w:bCs/>
              </w:rPr>
              <w:t>P</w:t>
            </w:r>
            <w:r>
              <w:rPr>
                <w:bCs/>
              </w:rPr>
              <w:t>harm</w:t>
            </w:r>
            <w:r w:rsidR="00CA0B2B">
              <w:rPr>
                <w:bCs/>
              </w:rPr>
              <w:t>O</w:t>
            </w:r>
            <w:r>
              <w:rPr>
                <w:bCs/>
              </w:rPr>
              <w:t>utcomes</w:t>
            </w:r>
            <w:proofErr w:type="spellEnd"/>
            <w:r>
              <w:rPr>
                <w:bCs/>
              </w:rPr>
              <w:t xml:space="preserve"> at the start of the quit attempt. This may be </w:t>
            </w:r>
            <w:r w:rsidR="00D97557">
              <w:rPr>
                <w:bCs/>
              </w:rPr>
              <w:t>verbal</w:t>
            </w:r>
            <w:r>
              <w:rPr>
                <w:bCs/>
              </w:rPr>
              <w:t xml:space="preserve"> consent. C</w:t>
            </w:r>
            <w:r w:rsidR="00060490">
              <w:rPr>
                <w:bCs/>
              </w:rPr>
              <w:t>lient</w:t>
            </w:r>
            <w:r>
              <w:rPr>
                <w:bCs/>
              </w:rPr>
              <w:t xml:space="preserve"> needs to </w:t>
            </w:r>
          </w:p>
          <w:p w14:paraId="0A136E62" w14:textId="3EDC100B" w:rsidR="0094459C" w:rsidRDefault="00362BAA" w:rsidP="00843F36">
            <w:pPr>
              <w:rPr>
                <w:bCs/>
              </w:rPr>
            </w:pPr>
            <w:r>
              <w:rPr>
                <w:bCs/>
              </w:rPr>
              <w:t xml:space="preserve">          </w:t>
            </w:r>
            <w:r w:rsidR="00060490">
              <w:rPr>
                <w:bCs/>
              </w:rPr>
              <w:t>agree</w:t>
            </w:r>
            <w:r>
              <w:rPr>
                <w:bCs/>
              </w:rPr>
              <w:t xml:space="preserve"> to share appropriate information with the clients GP and Smokefree Sefton.</w:t>
            </w:r>
          </w:p>
          <w:p w14:paraId="2C6AD288" w14:textId="71ECA955" w:rsidR="00232397" w:rsidRDefault="00843F36" w:rsidP="00843F36">
            <w:r>
              <w:t xml:space="preserve">  </w:t>
            </w:r>
            <w:r w:rsidR="00AF199F">
              <w:t>9.</w:t>
            </w:r>
            <w:r w:rsidR="00232397">
              <w:t>2</w:t>
            </w:r>
            <w:r>
              <w:t xml:space="preserve"> </w:t>
            </w:r>
            <w:r w:rsidR="0094459C">
              <w:t>Records m</w:t>
            </w:r>
            <w:r w:rsidR="0094459C" w:rsidRPr="00266CEF">
              <w:t>ust adhere to the National Minimum Standard of Clinical Note Keeping</w:t>
            </w:r>
            <w:r w:rsidR="0094459C">
              <w:t>.</w:t>
            </w:r>
            <w:r w:rsidR="00232397">
              <w:t xml:space="preserve"> </w:t>
            </w:r>
            <w:r w:rsidR="0094459C">
              <w:t xml:space="preserve">A record of </w:t>
            </w:r>
            <w:r>
              <w:t xml:space="preserve">         </w:t>
            </w:r>
          </w:p>
          <w:p w14:paraId="4BE580D2" w14:textId="0550F622" w:rsidR="00232397" w:rsidRDefault="00232397" w:rsidP="00843F36">
            <w:r>
              <w:t xml:space="preserve">          everything discussed in reference to the quit attempt must be documented. Each session must contain </w:t>
            </w:r>
          </w:p>
          <w:p w14:paraId="0DFF2735" w14:textId="08CCA7E7" w:rsidR="00232397" w:rsidRDefault="00232397" w:rsidP="00843F36">
            <w:r>
              <w:t xml:space="preserve">          the elements from the NCSCT Standard Treatment Prog</w:t>
            </w:r>
            <w:r w:rsidR="001F390D">
              <w:t>r</w:t>
            </w:r>
            <w:r>
              <w:t xml:space="preserve">amme document. A copy of this will be </w:t>
            </w:r>
          </w:p>
          <w:p w14:paraId="36F0A3C1" w14:textId="38C303DA" w:rsidR="00232397" w:rsidRDefault="00232397" w:rsidP="00843F36">
            <w:r>
              <w:t xml:space="preserve">          provided to each advisor during their training or can be accessed,</w:t>
            </w:r>
          </w:p>
          <w:p w14:paraId="5A3E7238" w14:textId="435D78DD" w:rsidR="0094459C" w:rsidRDefault="00816627" w:rsidP="00CA0B2B">
            <w:r>
              <w:t xml:space="preserve">          </w:t>
            </w:r>
            <w:hyperlink r:id="rId14" w:history="1">
              <w:r w:rsidRPr="00F73540">
                <w:rPr>
                  <w:rStyle w:val="Hyperlink"/>
                </w:rPr>
                <w:t>www.ncsct.co.uk/usr/pdf/Standard%20Treatment%Programmepdf</w:t>
              </w:r>
            </w:hyperlink>
          </w:p>
          <w:p w14:paraId="20B190E3" w14:textId="120F7DD7" w:rsidR="00C63485" w:rsidRPr="00816627" w:rsidRDefault="001F4894" w:rsidP="0094459C">
            <w:r>
              <w:t xml:space="preserve">   </w:t>
            </w:r>
            <w:r w:rsidR="00AF199F">
              <w:t>9</w:t>
            </w:r>
            <w:r w:rsidR="007A78F7">
              <w:t xml:space="preserve">.4 </w:t>
            </w:r>
            <w:r w:rsidR="00C63485" w:rsidRPr="00816627">
              <w:t>Data collection</w:t>
            </w:r>
          </w:p>
          <w:p w14:paraId="616158C6" w14:textId="77777777" w:rsidR="001F4894" w:rsidRDefault="001F4894" w:rsidP="00C63485">
            <w:r>
              <w:t xml:space="preserve">       </w:t>
            </w:r>
            <w:r w:rsidR="00C63485">
              <w:t xml:space="preserve">All documentation must be entered onto </w:t>
            </w:r>
            <w:proofErr w:type="spellStart"/>
            <w:r w:rsidR="007625A8">
              <w:t>P</w:t>
            </w:r>
            <w:r w:rsidR="00AE05A1">
              <w:t>harm</w:t>
            </w:r>
            <w:r w:rsidR="007625A8">
              <w:t>O</w:t>
            </w:r>
            <w:r w:rsidR="00AE05A1">
              <w:t>utcomes</w:t>
            </w:r>
            <w:proofErr w:type="spellEnd"/>
            <w:r w:rsidR="00C63485">
              <w:t xml:space="preserve"> which contains data collection mandatory </w:t>
            </w:r>
            <w:r>
              <w:t xml:space="preserve">fields                          </w:t>
            </w:r>
          </w:p>
          <w:p w14:paraId="63BF9FB3" w14:textId="77777777" w:rsidR="001F4894" w:rsidRDefault="001F4894" w:rsidP="00C63485">
            <w:r>
              <w:t xml:space="preserve">       which </w:t>
            </w:r>
            <w:r w:rsidR="00C63485">
              <w:t xml:space="preserve">meet the HSCIC and Russell Standard monitoring requirements. It is essential that all fields are </w:t>
            </w:r>
          </w:p>
          <w:p w14:paraId="02A726E5" w14:textId="2936E4B3" w:rsidR="00C63485" w:rsidRDefault="001F4894" w:rsidP="00C63485">
            <w:r>
              <w:t xml:space="preserve">       completed</w:t>
            </w:r>
            <w:r w:rsidR="00C63485">
              <w:t xml:space="preserve"> to ensure that quality assurance is reflected for Smokefree </w:t>
            </w:r>
            <w:r w:rsidR="00AE05A1">
              <w:t>Sefton</w:t>
            </w:r>
            <w:r w:rsidR="00C63485">
              <w:t xml:space="preserve"> as a whole.</w:t>
            </w:r>
          </w:p>
          <w:p w14:paraId="566DA5C8" w14:textId="77777777" w:rsidR="001F4894" w:rsidRDefault="001F4894" w:rsidP="0094459C"/>
          <w:p w14:paraId="314D6EF9" w14:textId="0C9815F1" w:rsidR="00C63485" w:rsidRDefault="00C63485" w:rsidP="0094459C">
            <w:r>
              <w:t>It is essential, data and thorough, comprehensive documentation of client`s episodes are completed</w:t>
            </w:r>
            <w:r w:rsidR="00CA0B2B">
              <w:t xml:space="preserve"> as soon as possible</w:t>
            </w:r>
            <w:r>
              <w:t xml:space="preserve"> after or during a consultation and are therefore, up to date.</w:t>
            </w:r>
          </w:p>
          <w:p w14:paraId="563B974E" w14:textId="34B57B71" w:rsidR="00C63485" w:rsidRPr="000853F1" w:rsidRDefault="00C63485" w:rsidP="0094459C"/>
        </w:tc>
      </w:tr>
      <w:tr w:rsidR="0094459C" w14:paraId="4CC14FEB" w14:textId="77777777" w:rsidTr="2FAFE03E">
        <w:tc>
          <w:tcPr>
            <w:tcW w:w="10141" w:type="dxa"/>
            <w:shd w:val="clear" w:color="auto" w:fill="FFFFFF" w:themeFill="background1"/>
          </w:tcPr>
          <w:p w14:paraId="2A6DAE37" w14:textId="7ADC06BD" w:rsidR="0094459C" w:rsidRPr="00A045A1" w:rsidRDefault="007A78F7" w:rsidP="0094459C">
            <w:pPr>
              <w:rPr>
                <w:b/>
                <w:bCs/>
              </w:rPr>
            </w:pPr>
            <w:r w:rsidRPr="00A045A1">
              <w:rPr>
                <w:b/>
                <w:bCs/>
              </w:rPr>
              <w:t>1</w:t>
            </w:r>
            <w:r w:rsidR="00AF199F" w:rsidRPr="00A045A1">
              <w:rPr>
                <w:b/>
                <w:bCs/>
              </w:rPr>
              <w:t>0</w:t>
            </w:r>
            <w:r w:rsidR="00816627" w:rsidRPr="00A045A1">
              <w:rPr>
                <w:b/>
                <w:bCs/>
              </w:rPr>
              <w:t>.</w:t>
            </w:r>
            <w:r w:rsidR="00C63485" w:rsidRPr="00A045A1">
              <w:rPr>
                <w:b/>
                <w:bCs/>
              </w:rPr>
              <w:t>Carbon Monoxide (CO) Monitors</w:t>
            </w:r>
            <w:r w:rsidR="00A75FB5" w:rsidRPr="00A045A1">
              <w:rPr>
                <w:b/>
                <w:bCs/>
              </w:rPr>
              <w:t xml:space="preserve"> (Option 2)</w:t>
            </w:r>
          </w:p>
        </w:tc>
      </w:tr>
      <w:tr w:rsidR="0094459C" w14:paraId="097045B3" w14:textId="77777777" w:rsidTr="2FAFE03E">
        <w:tc>
          <w:tcPr>
            <w:tcW w:w="10141" w:type="dxa"/>
          </w:tcPr>
          <w:p w14:paraId="61778583" w14:textId="77777777" w:rsidR="00C63485" w:rsidRDefault="00C63485" w:rsidP="00C63485">
            <w:pPr>
              <w:rPr>
                <w:b/>
                <w:sz w:val="24"/>
                <w:szCs w:val="24"/>
              </w:rPr>
            </w:pPr>
          </w:p>
          <w:p w14:paraId="584A7EDE" w14:textId="2D85C49F" w:rsidR="00362BAA" w:rsidRDefault="00C63485" w:rsidP="00C63485">
            <w:pPr>
              <w:rPr>
                <w:color w:val="FF0000"/>
              </w:rPr>
            </w:pPr>
            <w:r>
              <w:t xml:space="preserve">CO monitors will be available for each pharmacy as their staff are trained and accredited as practitioners. Smokefree </w:t>
            </w:r>
            <w:r w:rsidR="00AE05A1">
              <w:t>Sefton</w:t>
            </w:r>
            <w:r>
              <w:t xml:space="preserve"> will be responsible for D pieces and mouthpieces, and other consumables. Replacement batteries must be supplied by the pharmacy.</w:t>
            </w:r>
          </w:p>
          <w:p w14:paraId="2686E4B4" w14:textId="460FA631" w:rsidR="00362BAA" w:rsidRPr="00750080" w:rsidRDefault="00362BAA" w:rsidP="00C63485">
            <w:pPr>
              <w:rPr>
                <w:b/>
                <w:bCs/>
                <w:color w:val="FF0000"/>
              </w:rPr>
            </w:pPr>
            <w:r w:rsidRPr="00750080">
              <w:rPr>
                <w:b/>
                <w:bCs/>
                <w:color w:val="FF0000"/>
              </w:rPr>
              <w:t>Pharmacy staff should contact Smokefree Sefton for replacement monitors.</w:t>
            </w:r>
            <w:r w:rsidR="00750080" w:rsidRPr="00750080">
              <w:rPr>
                <w:b/>
                <w:bCs/>
                <w:color w:val="FF0000"/>
              </w:rPr>
              <w:t xml:space="preserve"> Tel. 0300 100 1000</w:t>
            </w:r>
          </w:p>
          <w:p w14:paraId="03391491" w14:textId="77777777" w:rsidR="00362BAA" w:rsidRDefault="00362BAA" w:rsidP="00C63485">
            <w:pPr>
              <w:rPr>
                <w:color w:val="FF0000"/>
              </w:rPr>
            </w:pPr>
          </w:p>
          <w:p w14:paraId="479442C1" w14:textId="228922ED" w:rsidR="00741E1D" w:rsidRDefault="00C63485" w:rsidP="0094459C">
            <w:pPr>
              <w:rPr>
                <w:b/>
                <w:bCs/>
              </w:rPr>
            </w:pPr>
            <w:r w:rsidRPr="00BD6D42">
              <w:t>To ensure robust service validation and infection contro</w:t>
            </w:r>
            <w:r>
              <w:t xml:space="preserve">l, the Smokefree </w:t>
            </w:r>
            <w:r w:rsidR="009B3F1D">
              <w:t>Sefton</w:t>
            </w:r>
            <w:r>
              <w:t xml:space="preserve"> CO monitor protocol</w:t>
            </w:r>
            <w:r w:rsidRPr="00BD6D42">
              <w:t xml:space="preserve"> must be adhered to.</w:t>
            </w:r>
            <w:r w:rsidR="00A71A5B">
              <w:t xml:space="preserve"> </w:t>
            </w:r>
            <w:r w:rsidR="00A71A5B" w:rsidRPr="00A71A5B">
              <w:rPr>
                <w:b/>
                <w:bCs/>
              </w:rPr>
              <w:t>Appendix 3</w:t>
            </w:r>
          </w:p>
          <w:p w14:paraId="2F23BF57" w14:textId="497278E2" w:rsidR="00741E1D" w:rsidRPr="000853F1" w:rsidRDefault="00741E1D" w:rsidP="0094459C"/>
        </w:tc>
      </w:tr>
      <w:tr w:rsidR="00C63485" w14:paraId="691AA6B7" w14:textId="77777777" w:rsidTr="2FAFE03E">
        <w:tc>
          <w:tcPr>
            <w:tcW w:w="10141" w:type="dxa"/>
            <w:shd w:val="clear" w:color="auto" w:fill="FFFFFF" w:themeFill="background1"/>
          </w:tcPr>
          <w:p w14:paraId="7C0BBB3A" w14:textId="18652004" w:rsidR="00C63485" w:rsidRPr="00A045A1" w:rsidRDefault="00816627" w:rsidP="0094459C">
            <w:pPr>
              <w:rPr>
                <w:b/>
                <w:bCs/>
              </w:rPr>
            </w:pPr>
            <w:r w:rsidRPr="00A045A1">
              <w:rPr>
                <w:b/>
                <w:bCs/>
              </w:rPr>
              <w:t>1</w:t>
            </w:r>
            <w:r w:rsidR="00AF199F" w:rsidRPr="00A045A1">
              <w:rPr>
                <w:b/>
                <w:bCs/>
              </w:rPr>
              <w:t>1</w:t>
            </w:r>
            <w:r w:rsidRPr="00A045A1">
              <w:rPr>
                <w:b/>
                <w:bCs/>
              </w:rPr>
              <w:t>.</w:t>
            </w:r>
            <w:r w:rsidR="00467BA9" w:rsidRPr="00A045A1">
              <w:rPr>
                <w:b/>
                <w:bCs/>
              </w:rPr>
              <w:t>Staffing (</w:t>
            </w:r>
            <w:r w:rsidR="00A75FB5" w:rsidRPr="00A045A1">
              <w:rPr>
                <w:b/>
                <w:bCs/>
              </w:rPr>
              <w:t>Option 2)</w:t>
            </w:r>
          </w:p>
        </w:tc>
      </w:tr>
      <w:tr w:rsidR="00C63485" w14:paraId="01F4844E" w14:textId="77777777" w:rsidTr="2FAFE03E">
        <w:tc>
          <w:tcPr>
            <w:tcW w:w="10141" w:type="dxa"/>
          </w:tcPr>
          <w:p w14:paraId="730C2430" w14:textId="77777777" w:rsidR="004A0539" w:rsidRDefault="004A0539" w:rsidP="004A0539">
            <w:pPr>
              <w:rPr>
                <w:bCs/>
              </w:rPr>
            </w:pPr>
          </w:p>
          <w:p w14:paraId="795811D7" w14:textId="6C19D0C2" w:rsidR="005E119E" w:rsidRDefault="004A0539" w:rsidP="004A0539">
            <w:pPr>
              <w:rPr>
                <w:bCs/>
              </w:rPr>
            </w:pPr>
            <w:r>
              <w:rPr>
                <w:bCs/>
              </w:rPr>
              <w:t>To ensure continuity of service provision, the pharmacy should have a minimum of 2 staff trained. This will allow to facilitate cover when periods of sickness and annual leave occur</w:t>
            </w:r>
            <w:r w:rsidR="005E119E">
              <w:rPr>
                <w:bCs/>
              </w:rPr>
              <w:t>,</w:t>
            </w:r>
            <w:r>
              <w:rPr>
                <w:bCs/>
              </w:rPr>
              <w:t xml:space="preserve"> </w:t>
            </w:r>
            <w:r w:rsidR="005E119E">
              <w:rPr>
                <w:bCs/>
              </w:rPr>
              <w:t>i</w:t>
            </w:r>
            <w:r>
              <w:rPr>
                <w:bCs/>
              </w:rPr>
              <w:t>t will also provide internal peer support.</w:t>
            </w:r>
            <w:r w:rsidR="005E119E">
              <w:rPr>
                <w:bCs/>
              </w:rPr>
              <w:t xml:space="preserve"> </w:t>
            </w:r>
          </w:p>
          <w:p w14:paraId="602E8833" w14:textId="77777777" w:rsidR="00FF6A4F" w:rsidRDefault="00FF6A4F" w:rsidP="004A0539">
            <w:pPr>
              <w:rPr>
                <w:bCs/>
              </w:rPr>
            </w:pPr>
          </w:p>
          <w:p w14:paraId="54316150" w14:textId="75680B4D" w:rsidR="00FF6A4F" w:rsidRDefault="00FF6A4F" w:rsidP="004A0539">
            <w:pPr>
              <w:rPr>
                <w:bCs/>
              </w:rPr>
            </w:pPr>
            <w:r>
              <w:rPr>
                <w:bCs/>
              </w:rPr>
              <w:lastRenderedPageBreak/>
              <w:t>It is accepted that independent pharmacies may have restricted staffing levels. In these instances, 1 staff member can be trained. In circumstances such as sickness or holidays, clients can be transferred to Smokefree Sefton for support during those times.</w:t>
            </w:r>
          </w:p>
          <w:p w14:paraId="356A811D" w14:textId="57263873" w:rsidR="005E119E" w:rsidRDefault="005E119E" w:rsidP="004A0539"/>
          <w:p w14:paraId="12C0C1FC" w14:textId="64398F20" w:rsidR="005E119E" w:rsidRDefault="6B638E5F" w:rsidP="004A0539">
            <w:r>
              <w:t xml:space="preserve">It is acknowledged that some pharmacies may have difficulty providing this level of trained staff, in the circumstances ABL Health </w:t>
            </w:r>
            <w:r w:rsidR="24C8E202">
              <w:t>will</w:t>
            </w:r>
            <w:r>
              <w:t xml:space="preserve"> negotiate alternative cover.</w:t>
            </w:r>
            <w:r w:rsidR="00B96340">
              <w:t xml:space="preserve"> In addition, if a contracted pharmacy cannot provide a service for a period of more than 3 months, whatever the reason may be, the pharmacist must inform the Smokefree Sefton pharmacy lead:</w:t>
            </w:r>
            <w:r w:rsidR="77196129">
              <w:t xml:space="preserve"> </w:t>
            </w:r>
            <w:hyperlink r:id="rId15">
              <w:r w:rsidR="32A785C3" w:rsidRPr="2FAFE03E">
                <w:rPr>
                  <w:rStyle w:val="Hyperlink"/>
                </w:rPr>
                <w:t>m</w:t>
              </w:r>
              <w:r w:rsidR="32A785C3" w:rsidRPr="2FAFE03E">
                <w:rPr>
                  <w:rStyle w:val="Hyperlink"/>
                  <w:rFonts w:ascii="Calibri" w:hAnsi="Calibri" w:cs="Calibri"/>
                </w:rPr>
                <w:t>mierzwa@ablhealth.co.uk</w:t>
              </w:r>
            </w:hyperlink>
          </w:p>
          <w:p w14:paraId="3E7AA40E" w14:textId="6B799262" w:rsidR="004A0539" w:rsidRPr="000853F1" w:rsidRDefault="004A0539" w:rsidP="0094459C"/>
        </w:tc>
      </w:tr>
      <w:tr w:rsidR="00C63485" w14:paraId="47452623" w14:textId="77777777" w:rsidTr="2FAFE03E">
        <w:tc>
          <w:tcPr>
            <w:tcW w:w="10141" w:type="dxa"/>
            <w:shd w:val="clear" w:color="auto" w:fill="FFFFFF" w:themeFill="background1"/>
          </w:tcPr>
          <w:p w14:paraId="1EA1FBCA" w14:textId="1B00263C" w:rsidR="00C63485" w:rsidRPr="00A045A1" w:rsidRDefault="00816627" w:rsidP="0094459C">
            <w:pPr>
              <w:rPr>
                <w:b/>
                <w:bCs/>
              </w:rPr>
            </w:pPr>
            <w:r w:rsidRPr="00A045A1">
              <w:rPr>
                <w:b/>
                <w:bCs/>
              </w:rPr>
              <w:lastRenderedPageBreak/>
              <w:t>1</w:t>
            </w:r>
            <w:r w:rsidR="00AF199F" w:rsidRPr="00A045A1">
              <w:rPr>
                <w:b/>
                <w:bCs/>
              </w:rPr>
              <w:t>2</w:t>
            </w:r>
            <w:r w:rsidRPr="00A045A1">
              <w:rPr>
                <w:b/>
                <w:bCs/>
              </w:rPr>
              <w:t>.</w:t>
            </w:r>
            <w:r w:rsidR="0081303B" w:rsidRPr="00A045A1">
              <w:rPr>
                <w:b/>
                <w:bCs/>
              </w:rPr>
              <w:t>Significant event recording</w:t>
            </w:r>
          </w:p>
        </w:tc>
      </w:tr>
      <w:tr w:rsidR="00C63485" w14:paraId="7A5EC11F" w14:textId="77777777" w:rsidTr="2FAFE03E">
        <w:tc>
          <w:tcPr>
            <w:tcW w:w="10141" w:type="dxa"/>
          </w:tcPr>
          <w:p w14:paraId="5271B343" w14:textId="77777777" w:rsidR="0057724F" w:rsidRDefault="0057724F" w:rsidP="0081303B"/>
          <w:p w14:paraId="4B3C6E69" w14:textId="49CCD770" w:rsidR="0081303B" w:rsidRDefault="0081303B" w:rsidP="0081303B">
            <w:r w:rsidRPr="00E06F6A">
              <w:t xml:space="preserve">The </w:t>
            </w:r>
            <w:r w:rsidR="002730AE">
              <w:t>p</w:t>
            </w:r>
            <w:r w:rsidRPr="00E06F6A">
              <w:t>harmacy</w:t>
            </w:r>
            <w:r>
              <w:t xml:space="preserve"> must have a significant event reporting system in place. This must contain a log of patient safety incidents.</w:t>
            </w:r>
          </w:p>
          <w:p w14:paraId="1E3568F8" w14:textId="77777777" w:rsidR="0007424B" w:rsidRDefault="0007424B" w:rsidP="0081303B"/>
          <w:p w14:paraId="79BF8B97" w14:textId="351091ED" w:rsidR="0007424B" w:rsidRDefault="0007424B" w:rsidP="0081303B">
            <w:r w:rsidRPr="0007424B">
              <w:t xml:space="preserve">In the context of the Smoking Cessation </w:t>
            </w:r>
            <w:proofErr w:type="gramStart"/>
            <w:r w:rsidRPr="0007424B">
              <w:t>Service ,</w:t>
            </w:r>
            <w:proofErr w:type="gramEnd"/>
            <w:r w:rsidRPr="0007424B">
              <w:t xml:space="preserve"> the pharmacy is the </w:t>
            </w:r>
            <w:r w:rsidRPr="0007424B">
              <w:rPr>
                <w:b/>
                <w:bCs/>
              </w:rPr>
              <w:t>data controller</w:t>
            </w:r>
            <w:r w:rsidRPr="0007424B">
              <w:t> for the patient records and clinical data it creates during the service.</w:t>
            </w:r>
          </w:p>
          <w:p w14:paraId="6A5A2E1F" w14:textId="77777777" w:rsidR="005E119E" w:rsidRDefault="005E119E" w:rsidP="0081303B"/>
          <w:p w14:paraId="42D4D792" w14:textId="0CE98F18" w:rsidR="0057724F" w:rsidRPr="000853F1" w:rsidRDefault="0081303B" w:rsidP="00470132">
            <w:r>
              <w:t>Any incidents regarding Stop Smoking Service delivery must be reported</w:t>
            </w:r>
            <w:r w:rsidR="00FD780C">
              <w:t xml:space="preserve"> immediately, in writing</w:t>
            </w:r>
            <w:r w:rsidR="00532531">
              <w:t xml:space="preserve"> by</w:t>
            </w:r>
            <w:r w:rsidR="00F4107B">
              <w:t xml:space="preserve"> secure email</w:t>
            </w:r>
            <w:r>
              <w:t xml:space="preserve"> to the Smokefree </w:t>
            </w:r>
            <w:r w:rsidR="00AE05A1">
              <w:t>Sefton</w:t>
            </w:r>
            <w:r>
              <w:t xml:space="preserve"> service manage</w:t>
            </w:r>
            <w:r w:rsidR="00CA0E24">
              <w:t>r,</w:t>
            </w:r>
            <w:r w:rsidR="00726311">
              <w:t xml:space="preserve"> </w:t>
            </w:r>
            <w:hyperlink r:id="rId16" w:history="1">
              <w:r w:rsidR="00CA0E24" w:rsidRPr="00EC5439">
                <w:rPr>
                  <w:rStyle w:val="Hyperlink"/>
                </w:rPr>
                <w:t>smokefree.sefton@nhs.net</w:t>
              </w:r>
            </w:hyperlink>
            <w:r w:rsidR="00CA0E24">
              <w:t xml:space="preserve"> </w:t>
            </w:r>
            <w:r w:rsidR="00F4107B">
              <w:t xml:space="preserve"> </w:t>
            </w:r>
            <w:r w:rsidR="00B15107">
              <w:t xml:space="preserve">This will then be processed as per ABL Health </w:t>
            </w:r>
            <w:r w:rsidR="00E96366">
              <w:t>governance procedures.</w:t>
            </w:r>
          </w:p>
        </w:tc>
      </w:tr>
      <w:tr w:rsidR="0081303B" w14:paraId="047CBAEA" w14:textId="77777777" w:rsidTr="2FAFE03E">
        <w:tc>
          <w:tcPr>
            <w:tcW w:w="10141" w:type="dxa"/>
            <w:shd w:val="clear" w:color="auto" w:fill="FFFFFF" w:themeFill="background1"/>
          </w:tcPr>
          <w:p w14:paraId="26B83958" w14:textId="048941D7" w:rsidR="0081303B" w:rsidRPr="00A045A1" w:rsidRDefault="00816627" w:rsidP="0081303B">
            <w:pPr>
              <w:rPr>
                <w:b/>
                <w:bCs/>
              </w:rPr>
            </w:pPr>
            <w:r w:rsidRPr="00A045A1">
              <w:rPr>
                <w:b/>
                <w:bCs/>
              </w:rPr>
              <w:t>1</w:t>
            </w:r>
            <w:r w:rsidR="00467BA9" w:rsidRPr="00A045A1">
              <w:rPr>
                <w:b/>
                <w:bCs/>
              </w:rPr>
              <w:t>3</w:t>
            </w:r>
            <w:r w:rsidRPr="00A045A1">
              <w:rPr>
                <w:b/>
                <w:bCs/>
              </w:rPr>
              <w:t>.</w:t>
            </w:r>
            <w:r w:rsidR="008918DC" w:rsidRPr="00A045A1">
              <w:rPr>
                <w:b/>
                <w:bCs/>
              </w:rPr>
              <w:t>Financial</w:t>
            </w:r>
          </w:p>
        </w:tc>
      </w:tr>
      <w:tr w:rsidR="0081303B" w14:paraId="75C8AE15" w14:textId="77777777" w:rsidTr="2FAFE03E">
        <w:tc>
          <w:tcPr>
            <w:tcW w:w="10141" w:type="dxa"/>
          </w:tcPr>
          <w:p w14:paraId="693735B1" w14:textId="4726E45A" w:rsidR="008918DC" w:rsidRPr="006D7710" w:rsidRDefault="008918DC" w:rsidP="008918DC">
            <w:pPr>
              <w:rPr>
                <w:b/>
                <w:bCs/>
                <w:sz w:val="24"/>
                <w:szCs w:val="24"/>
              </w:rPr>
            </w:pPr>
          </w:p>
          <w:p w14:paraId="0613B11B" w14:textId="0ACE643E" w:rsidR="008918DC" w:rsidRPr="00BD251B" w:rsidRDefault="008918DC" w:rsidP="008918DC">
            <w:r w:rsidRPr="00BD251B">
              <w:t xml:space="preserve">ABL Health Ltd will pay the pharmacists in accordance </w:t>
            </w:r>
            <w:r w:rsidR="00CA0B2B" w:rsidRPr="00BD251B">
              <w:t>with</w:t>
            </w:r>
            <w:r w:rsidRPr="00BD251B">
              <w:t xml:space="preserve"> the payment schedule outlined below</w:t>
            </w:r>
            <w:r w:rsidR="00016B25">
              <w:t xml:space="preserve"> and in accordance </w:t>
            </w:r>
            <w:proofErr w:type="gramStart"/>
            <w:r w:rsidR="00016B25">
              <w:t>to</w:t>
            </w:r>
            <w:proofErr w:type="gramEnd"/>
            <w:r w:rsidR="00016B25">
              <w:t xml:space="preserve"> their specified agreement option</w:t>
            </w:r>
            <w:r w:rsidR="00D93498">
              <w:t xml:space="preserve">. </w:t>
            </w:r>
            <w:proofErr w:type="spellStart"/>
            <w:r w:rsidR="00D93498">
              <w:t>Pharm</w:t>
            </w:r>
            <w:r w:rsidR="00CA0B2B">
              <w:t>O</w:t>
            </w:r>
            <w:r w:rsidR="00D93498">
              <w:t>utcomes</w:t>
            </w:r>
            <w:proofErr w:type="spellEnd"/>
            <w:r w:rsidR="00D93498">
              <w:t xml:space="preserve"> should generate an invoice to ABL Health for their monthly activity. Activity must be kept up to date to ensure prompt submission and payment. Data submitted late could result in late payments. Invoices submitted at the end of each month will be paid</w:t>
            </w:r>
            <w:r w:rsidRPr="00BD251B">
              <w:t xml:space="preserve"> by BACS transfer</w:t>
            </w:r>
            <w:r w:rsidR="00362BAA">
              <w:t>, reimbursement will be within 30 days of receipt of invoices.</w:t>
            </w:r>
          </w:p>
          <w:p w14:paraId="3C7E0F35" w14:textId="77777777" w:rsidR="008918DC" w:rsidRDefault="008918DC" w:rsidP="008918DC">
            <w:pPr>
              <w:rPr>
                <w:b/>
                <w:bCs/>
              </w:rPr>
            </w:pPr>
          </w:p>
          <w:p w14:paraId="17593CA7" w14:textId="425FACA7" w:rsidR="00F44429" w:rsidRDefault="008918DC" w:rsidP="008918DC">
            <w:r w:rsidRPr="00860DDE">
              <w:t xml:space="preserve">Pharmacists </w:t>
            </w:r>
            <w:r w:rsidR="00CA0B2B">
              <w:t>who</w:t>
            </w:r>
            <w:r w:rsidRPr="00860DDE">
              <w:t xml:space="preserve"> provide smoking cessation </w:t>
            </w:r>
            <w:r w:rsidR="00CA0B2B">
              <w:t>will be rem</w:t>
            </w:r>
            <w:r w:rsidR="00060490">
              <w:t>un</w:t>
            </w:r>
            <w:r w:rsidR="00CA0B2B">
              <w:t xml:space="preserve">erated </w:t>
            </w:r>
            <w:r w:rsidRPr="00860DDE">
              <w:t>on payment by result</w:t>
            </w:r>
            <w:r w:rsidR="00CA0B2B">
              <w:t xml:space="preserve"> basis, as indicated below.</w:t>
            </w:r>
            <w:r>
              <w:t xml:space="preserve"> </w:t>
            </w:r>
          </w:p>
          <w:p w14:paraId="7D9F20F0" w14:textId="77777777" w:rsidR="00A97D9D" w:rsidRDefault="00A97D9D" w:rsidP="008918DC"/>
          <w:p w14:paraId="480F38ED" w14:textId="5578895D" w:rsidR="008918DC" w:rsidRPr="00F44429" w:rsidRDefault="00F44429" w:rsidP="008918DC">
            <w:pPr>
              <w:rPr>
                <w:b/>
                <w:bCs/>
              </w:rPr>
            </w:pPr>
            <w:r w:rsidRPr="00F44429">
              <w:rPr>
                <w:b/>
                <w:bCs/>
              </w:rPr>
              <w:t>Option 1</w:t>
            </w:r>
          </w:p>
          <w:tbl>
            <w:tblPr>
              <w:tblStyle w:val="TableGrid"/>
              <w:tblW w:w="0" w:type="auto"/>
              <w:tblLook w:val="04A0" w:firstRow="1" w:lastRow="0" w:firstColumn="1" w:lastColumn="0" w:noHBand="0" w:noVBand="1"/>
            </w:tblPr>
            <w:tblGrid>
              <w:gridCol w:w="1780"/>
              <w:gridCol w:w="1080"/>
            </w:tblGrid>
            <w:tr w:rsidR="00D93498" w14:paraId="3D1AE40A" w14:textId="77777777" w:rsidTr="00D93498">
              <w:tc>
                <w:tcPr>
                  <w:tcW w:w="1780" w:type="dxa"/>
                </w:tcPr>
                <w:p w14:paraId="3F842D11" w14:textId="139AAA82" w:rsidR="00D93498" w:rsidRDefault="00D93498" w:rsidP="008918DC">
                  <w:pPr>
                    <w:rPr>
                      <w:b/>
                      <w:bCs/>
                    </w:rPr>
                  </w:pPr>
                  <w:r>
                    <w:rPr>
                      <w:b/>
                      <w:bCs/>
                    </w:rPr>
                    <w:t>Activity</w:t>
                  </w:r>
                </w:p>
              </w:tc>
              <w:tc>
                <w:tcPr>
                  <w:tcW w:w="1080" w:type="dxa"/>
                </w:tcPr>
                <w:p w14:paraId="4CC1AD1C" w14:textId="10AEF909" w:rsidR="00D93498" w:rsidRDefault="00D93498" w:rsidP="008918DC">
                  <w:pPr>
                    <w:rPr>
                      <w:b/>
                      <w:bCs/>
                    </w:rPr>
                  </w:pPr>
                  <w:r>
                    <w:rPr>
                      <w:b/>
                      <w:bCs/>
                    </w:rPr>
                    <w:t>Tariff</w:t>
                  </w:r>
                </w:p>
              </w:tc>
            </w:tr>
            <w:tr w:rsidR="00D93498" w14:paraId="4536FA06" w14:textId="77777777" w:rsidTr="00D93498">
              <w:tc>
                <w:tcPr>
                  <w:tcW w:w="1780" w:type="dxa"/>
                </w:tcPr>
                <w:p w14:paraId="2A87758A" w14:textId="77777777" w:rsidR="00D93498" w:rsidRDefault="00D93498" w:rsidP="008918DC">
                  <w:pPr>
                    <w:rPr>
                      <w:b/>
                      <w:bCs/>
                    </w:rPr>
                  </w:pPr>
                  <w:r>
                    <w:rPr>
                      <w:b/>
                      <w:bCs/>
                    </w:rPr>
                    <w:t>NRT supply only</w:t>
                  </w:r>
                  <w:r w:rsidR="00FF6A4F">
                    <w:rPr>
                      <w:b/>
                      <w:bCs/>
                    </w:rPr>
                    <w:t xml:space="preserve">, each dispense </w:t>
                  </w:r>
                </w:p>
                <w:p w14:paraId="4BAB1771" w14:textId="2451EB5E" w:rsidR="00060490" w:rsidRDefault="00060490" w:rsidP="008918DC">
                  <w:pPr>
                    <w:rPr>
                      <w:b/>
                      <w:bCs/>
                    </w:rPr>
                  </w:pPr>
                  <w:r>
                    <w:rPr>
                      <w:b/>
                      <w:bCs/>
                    </w:rPr>
                    <w:t>Not per item</w:t>
                  </w:r>
                </w:p>
              </w:tc>
              <w:tc>
                <w:tcPr>
                  <w:tcW w:w="1080" w:type="dxa"/>
                </w:tcPr>
                <w:p w14:paraId="7DAF32A6" w14:textId="0FD68EF8" w:rsidR="00D93498" w:rsidRDefault="00D93498" w:rsidP="008918DC">
                  <w:pPr>
                    <w:rPr>
                      <w:b/>
                      <w:bCs/>
                    </w:rPr>
                  </w:pPr>
                  <w:r>
                    <w:rPr>
                      <w:rFonts w:cstheme="minorHAnsi"/>
                      <w:b/>
                      <w:bCs/>
                    </w:rPr>
                    <w:t>£</w:t>
                  </w:r>
                  <w:r w:rsidR="00CD53A1">
                    <w:rPr>
                      <w:rFonts w:cstheme="minorHAnsi"/>
                      <w:b/>
                      <w:bCs/>
                    </w:rPr>
                    <w:t>4</w:t>
                  </w:r>
                  <w:r w:rsidR="00A75FB5">
                    <w:rPr>
                      <w:rFonts w:cstheme="minorHAnsi"/>
                      <w:b/>
                      <w:bCs/>
                    </w:rPr>
                    <w:t>.</w:t>
                  </w:r>
                  <w:r w:rsidR="002B25BE">
                    <w:rPr>
                      <w:rFonts w:cstheme="minorHAnsi"/>
                      <w:b/>
                      <w:bCs/>
                    </w:rPr>
                    <w:t>20</w:t>
                  </w:r>
                  <w:r w:rsidR="00A75FB5">
                    <w:rPr>
                      <w:rFonts w:cstheme="minorHAnsi"/>
                      <w:b/>
                      <w:bCs/>
                    </w:rPr>
                    <w:t>p</w:t>
                  </w:r>
                </w:p>
              </w:tc>
            </w:tr>
          </w:tbl>
          <w:p w14:paraId="3AF29C0B" w14:textId="429BF579" w:rsidR="00F44429" w:rsidRPr="007569AD" w:rsidRDefault="00F44429" w:rsidP="008918DC">
            <w:r w:rsidRPr="007569AD">
              <w:t>Pharmacotherapy products (NRT) will be reimbursed at the current NHS tariff plus 5% vat.</w:t>
            </w:r>
          </w:p>
          <w:p w14:paraId="2DF8E597" w14:textId="77777777" w:rsidR="007569AD" w:rsidRDefault="007569AD" w:rsidP="008918DC">
            <w:pPr>
              <w:rPr>
                <w:b/>
                <w:bCs/>
              </w:rPr>
            </w:pPr>
          </w:p>
          <w:p w14:paraId="02FEC926" w14:textId="2002FEE2" w:rsidR="00F44429" w:rsidRPr="00470132" w:rsidRDefault="007569AD" w:rsidP="008918DC">
            <w:pPr>
              <w:rPr>
                <w:b/>
                <w:bCs/>
                <w:sz w:val="24"/>
                <w:szCs w:val="24"/>
              </w:rPr>
            </w:pPr>
            <w:r w:rsidRPr="00470132">
              <w:rPr>
                <w:b/>
                <w:bCs/>
                <w:sz w:val="24"/>
                <w:szCs w:val="24"/>
              </w:rPr>
              <w:t xml:space="preserve">Option 2 </w:t>
            </w:r>
            <w:r w:rsidR="00F44429" w:rsidRPr="00470132">
              <w:rPr>
                <w:b/>
                <w:bCs/>
                <w:sz w:val="24"/>
                <w:szCs w:val="24"/>
              </w:rPr>
              <w:t>– Level 2 Smoking Cessation Service</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33"/>
              <w:gridCol w:w="885"/>
            </w:tblGrid>
            <w:tr w:rsidR="007569AD" w:rsidRPr="00C512B2" w14:paraId="34F7641D" w14:textId="77777777" w:rsidTr="00CB7E37">
              <w:trPr>
                <w:gridAfter w:val="1"/>
                <w:wAfter w:w="236" w:type="dxa"/>
                <w:trHeight w:val="330"/>
              </w:trPr>
              <w:tc>
                <w:tcPr>
                  <w:tcW w:w="3933"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73CA5A4E" w14:textId="5B3C987D" w:rsidR="007569AD" w:rsidRPr="00C512B2" w:rsidRDefault="007569AD" w:rsidP="007569AD">
                  <w:pPr>
                    <w:spacing w:after="0" w:line="240" w:lineRule="auto"/>
                    <w:textAlignment w:val="baseline"/>
                    <w:rPr>
                      <w:rFonts w:ascii="Aptos" w:eastAsia="Times New Roman" w:hAnsi="Aptos" w:cs="Segoe UI"/>
                      <w:lang w:eastAsia="en-GB"/>
                    </w:rPr>
                  </w:pPr>
                  <w:r w:rsidRPr="00C512B2">
                    <w:rPr>
                      <w:rFonts w:ascii="Aptos" w:eastAsia="Times New Roman" w:hAnsi="Aptos" w:cs="Segoe UI"/>
                      <w:b/>
                      <w:bCs/>
                      <w:lang w:eastAsia="en-GB"/>
                    </w:rPr>
                    <w:t>New Price</w:t>
                  </w:r>
                </w:p>
              </w:tc>
            </w:tr>
            <w:tr w:rsidR="007569AD" w:rsidRPr="00470132" w14:paraId="18FE8C8E" w14:textId="77777777" w:rsidTr="00CB7E37">
              <w:trPr>
                <w:trHeight w:val="330"/>
              </w:trPr>
              <w:tc>
                <w:tcPr>
                  <w:tcW w:w="393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1C87718" w14:textId="397BBF42" w:rsidR="007569AD" w:rsidRPr="00C512B2" w:rsidRDefault="007569AD" w:rsidP="007569AD">
                  <w:pPr>
                    <w:spacing w:after="0" w:line="240" w:lineRule="auto"/>
                    <w:textAlignment w:val="baseline"/>
                    <w:rPr>
                      <w:rFonts w:eastAsia="Times New Roman" w:cstheme="minorHAnsi"/>
                      <w:sz w:val="24"/>
                      <w:szCs w:val="24"/>
                      <w:lang w:eastAsia="en-GB"/>
                    </w:rPr>
                  </w:pPr>
                  <w:r w:rsidRPr="00C512B2">
                    <w:rPr>
                      <w:rFonts w:eastAsia="Times New Roman" w:cstheme="minorHAnsi"/>
                      <w:b/>
                      <w:bCs/>
                      <w:sz w:val="24"/>
                      <w:szCs w:val="24"/>
                      <w:lang w:eastAsia="en-GB"/>
                    </w:rPr>
                    <w:t>QDS</w:t>
                  </w:r>
                </w:p>
              </w:tc>
              <w:tc>
                <w:tcPr>
                  <w:tcW w:w="23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528D7CEE" w14:textId="77777777" w:rsidR="007569AD" w:rsidRPr="00C512B2" w:rsidRDefault="007569AD" w:rsidP="007569AD">
                  <w:pPr>
                    <w:spacing w:after="0" w:line="240" w:lineRule="auto"/>
                    <w:textAlignment w:val="baseline"/>
                    <w:rPr>
                      <w:rFonts w:eastAsia="Times New Roman" w:cstheme="minorHAnsi"/>
                      <w:sz w:val="24"/>
                      <w:szCs w:val="24"/>
                      <w:lang w:eastAsia="en-GB"/>
                    </w:rPr>
                  </w:pPr>
                  <w:r w:rsidRPr="00C512B2">
                    <w:rPr>
                      <w:rFonts w:eastAsia="Times New Roman" w:cstheme="minorHAnsi"/>
                      <w:sz w:val="24"/>
                      <w:szCs w:val="24"/>
                      <w:lang w:eastAsia="en-GB"/>
                    </w:rPr>
                    <w:t>£26.50</w:t>
                  </w:r>
                </w:p>
              </w:tc>
            </w:tr>
            <w:tr w:rsidR="007569AD" w:rsidRPr="00470132" w14:paraId="1A718B0B" w14:textId="77777777" w:rsidTr="00CB7E37">
              <w:trPr>
                <w:trHeight w:val="330"/>
              </w:trPr>
              <w:tc>
                <w:tcPr>
                  <w:tcW w:w="393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862F21C" w14:textId="5B64CA14" w:rsidR="007569AD" w:rsidRPr="00C512B2" w:rsidRDefault="007569AD" w:rsidP="007569AD">
                  <w:pPr>
                    <w:spacing w:after="0" w:line="240" w:lineRule="auto"/>
                    <w:textAlignment w:val="baseline"/>
                    <w:rPr>
                      <w:rFonts w:eastAsia="Times New Roman" w:cstheme="minorHAnsi"/>
                      <w:sz w:val="24"/>
                      <w:szCs w:val="24"/>
                      <w:lang w:eastAsia="en-GB"/>
                    </w:rPr>
                  </w:pPr>
                  <w:r w:rsidRPr="00C512B2">
                    <w:rPr>
                      <w:rFonts w:eastAsia="Times New Roman" w:cstheme="minorHAnsi"/>
                      <w:b/>
                      <w:bCs/>
                      <w:sz w:val="24"/>
                      <w:szCs w:val="24"/>
                      <w:lang w:eastAsia="en-GB"/>
                    </w:rPr>
                    <w:t>4 WK</w:t>
                  </w:r>
                  <w:r w:rsidR="00470132" w:rsidRPr="00C512B2">
                    <w:rPr>
                      <w:rFonts w:eastAsia="Times New Roman" w:cstheme="minorHAnsi"/>
                      <w:b/>
                      <w:bCs/>
                      <w:sz w:val="24"/>
                      <w:szCs w:val="24"/>
                      <w:lang w:eastAsia="en-GB"/>
                    </w:rPr>
                    <w:t xml:space="preserve"> CO</w:t>
                  </w:r>
                  <w:r w:rsidRPr="00C512B2">
                    <w:rPr>
                      <w:rFonts w:eastAsia="Times New Roman" w:cstheme="minorHAnsi"/>
                      <w:b/>
                      <w:bCs/>
                      <w:sz w:val="24"/>
                      <w:szCs w:val="24"/>
                      <w:lang w:eastAsia="en-GB"/>
                    </w:rPr>
                    <w:t xml:space="preserve"> validated</w:t>
                  </w:r>
                </w:p>
              </w:tc>
              <w:tc>
                <w:tcPr>
                  <w:tcW w:w="23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6EF03CD" w14:textId="77777777" w:rsidR="007569AD" w:rsidRPr="00C512B2" w:rsidRDefault="007569AD" w:rsidP="007569AD">
                  <w:pPr>
                    <w:spacing w:after="0" w:line="240" w:lineRule="auto"/>
                    <w:textAlignment w:val="baseline"/>
                    <w:rPr>
                      <w:rFonts w:eastAsia="Times New Roman" w:cstheme="minorHAnsi"/>
                      <w:sz w:val="24"/>
                      <w:szCs w:val="24"/>
                      <w:lang w:eastAsia="en-GB"/>
                    </w:rPr>
                  </w:pPr>
                  <w:r w:rsidRPr="00C512B2">
                    <w:rPr>
                      <w:rFonts w:eastAsia="Times New Roman" w:cstheme="minorHAnsi"/>
                      <w:sz w:val="24"/>
                      <w:szCs w:val="24"/>
                      <w:lang w:eastAsia="en-GB"/>
                    </w:rPr>
                    <w:t>£52.50</w:t>
                  </w:r>
                </w:p>
              </w:tc>
            </w:tr>
            <w:tr w:rsidR="007569AD" w:rsidRPr="00470132" w14:paraId="3F2D783F" w14:textId="77777777" w:rsidTr="00CB7E37">
              <w:trPr>
                <w:trHeight w:val="330"/>
              </w:trPr>
              <w:tc>
                <w:tcPr>
                  <w:tcW w:w="3933"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EFE7FC" w14:textId="77777777" w:rsidR="007569AD" w:rsidRPr="00C512B2" w:rsidRDefault="007569AD" w:rsidP="007569AD">
                  <w:pPr>
                    <w:spacing w:after="0" w:line="240" w:lineRule="auto"/>
                    <w:textAlignment w:val="baseline"/>
                    <w:rPr>
                      <w:rFonts w:eastAsia="Times New Roman" w:cstheme="minorHAnsi"/>
                      <w:sz w:val="24"/>
                      <w:szCs w:val="24"/>
                      <w:lang w:eastAsia="en-GB"/>
                    </w:rPr>
                  </w:pPr>
                  <w:r w:rsidRPr="00C512B2">
                    <w:rPr>
                      <w:rFonts w:eastAsia="Times New Roman" w:cstheme="minorHAnsi"/>
                      <w:b/>
                      <w:bCs/>
                      <w:sz w:val="24"/>
                      <w:szCs w:val="24"/>
                      <w:lang w:eastAsia="en-GB"/>
                    </w:rPr>
                    <w:t>4-week self-validation</w:t>
                  </w:r>
                </w:p>
              </w:tc>
              <w:tc>
                <w:tcPr>
                  <w:tcW w:w="236"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5EA370DB" w14:textId="77777777" w:rsidR="007569AD" w:rsidRPr="00C512B2" w:rsidRDefault="007569AD" w:rsidP="007569AD">
                  <w:pPr>
                    <w:spacing w:after="0" w:line="240" w:lineRule="auto"/>
                    <w:textAlignment w:val="baseline"/>
                    <w:rPr>
                      <w:rFonts w:eastAsia="Times New Roman" w:cstheme="minorHAnsi"/>
                      <w:sz w:val="24"/>
                      <w:szCs w:val="24"/>
                      <w:lang w:eastAsia="en-GB"/>
                    </w:rPr>
                  </w:pPr>
                  <w:r w:rsidRPr="00C512B2">
                    <w:rPr>
                      <w:rFonts w:eastAsia="Times New Roman" w:cstheme="minorHAnsi"/>
                      <w:sz w:val="24"/>
                      <w:szCs w:val="24"/>
                      <w:lang w:eastAsia="en-GB"/>
                    </w:rPr>
                    <w:t>£43.00</w:t>
                  </w:r>
                </w:p>
              </w:tc>
            </w:tr>
            <w:tr w:rsidR="007569AD" w:rsidRPr="00470132" w14:paraId="144E52A9" w14:textId="77777777" w:rsidTr="00CB7E37">
              <w:trPr>
                <w:trHeight w:val="330"/>
              </w:trPr>
              <w:tc>
                <w:tcPr>
                  <w:tcW w:w="3933"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6AD7EF" w14:textId="77777777" w:rsidR="007569AD" w:rsidRPr="00C512B2" w:rsidRDefault="007569AD" w:rsidP="007569AD">
                  <w:pPr>
                    <w:spacing w:after="0" w:line="240" w:lineRule="auto"/>
                    <w:textAlignment w:val="baseline"/>
                    <w:rPr>
                      <w:rFonts w:eastAsia="Times New Roman" w:cstheme="minorHAnsi"/>
                      <w:sz w:val="24"/>
                      <w:szCs w:val="24"/>
                      <w:lang w:eastAsia="en-GB"/>
                    </w:rPr>
                  </w:pPr>
                  <w:r w:rsidRPr="00C512B2">
                    <w:rPr>
                      <w:rFonts w:eastAsia="Times New Roman" w:cstheme="minorHAnsi"/>
                      <w:b/>
                      <w:bCs/>
                      <w:sz w:val="24"/>
                      <w:szCs w:val="24"/>
                      <w:lang w:eastAsia="en-GB"/>
                    </w:rPr>
                    <w:t>12wk validation</w:t>
                  </w:r>
                </w:p>
              </w:tc>
              <w:tc>
                <w:tcPr>
                  <w:tcW w:w="236"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73EADDDD" w14:textId="77777777" w:rsidR="007569AD" w:rsidRPr="00C512B2" w:rsidRDefault="007569AD" w:rsidP="007569AD">
                  <w:pPr>
                    <w:spacing w:after="0" w:line="240" w:lineRule="auto"/>
                    <w:textAlignment w:val="baseline"/>
                    <w:rPr>
                      <w:rFonts w:eastAsia="Times New Roman" w:cstheme="minorHAnsi"/>
                      <w:sz w:val="24"/>
                      <w:szCs w:val="24"/>
                      <w:lang w:eastAsia="en-GB"/>
                    </w:rPr>
                  </w:pPr>
                  <w:r w:rsidRPr="00C512B2">
                    <w:rPr>
                      <w:rFonts w:eastAsia="Times New Roman" w:cstheme="minorHAnsi"/>
                      <w:sz w:val="24"/>
                      <w:szCs w:val="24"/>
                      <w:lang w:eastAsia="en-GB"/>
                    </w:rPr>
                    <w:t>£36.75</w:t>
                  </w:r>
                </w:p>
              </w:tc>
            </w:tr>
            <w:tr w:rsidR="007569AD" w:rsidRPr="00470132" w14:paraId="7DFD3A8F" w14:textId="77777777" w:rsidTr="00CB7E37">
              <w:trPr>
                <w:trHeight w:val="330"/>
              </w:trPr>
              <w:tc>
                <w:tcPr>
                  <w:tcW w:w="3933"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5DC1D" w14:textId="47F26920" w:rsidR="007569AD" w:rsidRPr="00C512B2" w:rsidRDefault="007569AD" w:rsidP="007569AD">
                  <w:pPr>
                    <w:spacing w:after="0" w:line="240" w:lineRule="auto"/>
                    <w:textAlignment w:val="baseline"/>
                    <w:rPr>
                      <w:rFonts w:eastAsia="Times New Roman" w:cstheme="minorHAnsi"/>
                      <w:sz w:val="24"/>
                      <w:szCs w:val="24"/>
                      <w:lang w:eastAsia="en-GB"/>
                    </w:rPr>
                  </w:pPr>
                  <w:r w:rsidRPr="00C512B2">
                    <w:rPr>
                      <w:rFonts w:eastAsia="Times New Roman" w:cstheme="minorHAnsi"/>
                      <w:b/>
                      <w:bCs/>
                      <w:sz w:val="24"/>
                      <w:szCs w:val="24"/>
                      <w:lang w:eastAsia="en-GB"/>
                    </w:rPr>
                    <w:t>NRT per dispense</w:t>
                  </w:r>
                  <w:r w:rsidR="00CB7E37">
                    <w:rPr>
                      <w:rFonts w:eastAsia="Times New Roman" w:cstheme="minorHAnsi"/>
                      <w:b/>
                      <w:bCs/>
                      <w:sz w:val="24"/>
                      <w:szCs w:val="24"/>
                      <w:lang w:eastAsia="en-GB"/>
                    </w:rPr>
                    <w:t xml:space="preserve"> (not per item) </w:t>
                  </w:r>
                </w:p>
              </w:tc>
              <w:tc>
                <w:tcPr>
                  <w:tcW w:w="236"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1099F94A" w14:textId="77777777" w:rsidR="007569AD" w:rsidRPr="00C512B2" w:rsidRDefault="007569AD" w:rsidP="007569AD">
                  <w:pPr>
                    <w:spacing w:after="0" w:line="240" w:lineRule="auto"/>
                    <w:textAlignment w:val="baseline"/>
                    <w:rPr>
                      <w:rFonts w:eastAsia="Times New Roman" w:cstheme="minorHAnsi"/>
                      <w:sz w:val="24"/>
                      <w:szCs w:val="24"/>
                      <w:lang w:eastAsia="en-GB"/>
                    </w:rPr>
                  </w:pPr>
                  <w:r w:rsidRPr="00C512B2">
                    <w:rPr>
                      <w:rFonts w:eastAsia="Times New Roman" w:cstheme="minorHAnsi"/>
                      <w:sz w:val="24"/>
                      <w:szCs w:val="24"/>
                      <w:lang w:eastAsia="en-GB"/>
                    </w:rPr>
                    <w:t>£4.20</w:t>
                  </w:r>
                </w:p>
              </w:tc>
            </w:tr>
          </w:tbl>
          <w:p w14:paraId="643E0247" w14:textId="3207E434" w:rsidR="00430103" w:rsidRDefault="00430103" w:rsidP="51F040F9">
            <w:pPr>
              <w:rPr>
                <w:b/>
                <w:bCs/>
                <w:color w:val="FF0000"/>
              </w:rPr>
            </w:pPr>
          </w:p>
          <w:p w14:paraId="1E0D0653" w14:textId="7744126E" w:rsidR="00060490" w:rsidRPr="00060490" w:rsidRDefault="00060490" w:rsidP="00060490">
            <w:pPr>
              <w:rPr>
                <w:b/>
                <w:bCs/>
              </w:rPr>
            </w:pPr>
            <w:r>
              <w:rPr>
                <w:b/>
                <w:bCs/>
              </w:rPr>
              <w:t>P</w:t>
            </w:r>
            <w:r w:rsidR="00A115B7">
              <w:rPr>
                <w:b/>
                <w:bCs/>
              </w:rPr>
              <w:t>harmacotherapy products (NRT) will be reimbursed at the current NHS prices plus 5% VAT</w:t>
            </w:r>
            <w:r>
              <w:rPr>
                <w:b/>
                <w:bCs/>
              </w:rPr>
              <w:t xml:space="preserve">.  </w:t>
            </w:r>
            <w:r w:rsidRPr="00060490">
              <w:rPr>
                <w:b/>
                <w:bCs/>
                <w:i/>
                <w:iCs/>
              </w:rPr>
              <w:t>Where a price concession has been granted for specific strengths of a product, this concession will apply to those specific strengths of products supplied as part of this service. Concessions will only apply to the month in which they are granted according to the usual Drug Tariff arrangements</w:t>
            </w:r>
          </w:p>
          <w:p w14:paraId="401B6399" w14:textId="25EC4F33" w:rsidR="004E2C39" w:rsidRPr="00BD2ABE" w:rsidRDefault="004E2C39" w:rsidP="008D4D5C"/>
        </w:tc>
      </w:tr>
      <w:tr w:rsidR="0081303B" w14:paraId="2BE50782" w14:textId="77777777" w:rsidTr="2FAFE03E">
        <w:tc>
          <w:tcPr>
            <w:tcW w:w="10141" w:type="dxa"/>
            <w:shd w:val="clear" w:color="auto" w:fill="FFFFFF" w:themeFill="background1"/>
          </w:tcPr>
          <w:p w14:paraId="4BA59F81" w14:textId="149B4199" w:rsidR="0081303B" w:rsidRPr="00A045A1" w:rsidRDefault="00816627" w:rsidP="0081303B">
            <w:pPr>
              <w:rPr>
                <w:b/>
                <w:bCs/>
              </w:rPr>
            </w:pPr>
            <w:r w:rsidRPr="51F040F9">
              <w:rPr>
                <w:b/>
                <w:bCs/>
              </w:rPr>
              <w:lastRenderedPageBreak/>
              <w:t>1</w:t>
            </w:r>
            <w:r w:rsidR="00467BA9" w:rsidRPr="51F040F9">
              <w:rPr>
                <w:b/>
                <w:bCs/>
              </w:rPr>
              <w:t>4</w:t>
            </w:r>
            <w:r w:rsidRPr="51F040F9">
              <w:rPr>
                <w:b/>
                <w:bCs/>
              </w:rPr>
              <w:t>.</w:t>
            </w:r>
            <w:r w:rsidR="00F71485" w:rsidRPr="51F040F9">
              <w:rPr>
                <w:b/>
                <w:bCs/>
              </w:rPr>
              <w:t>Inte</w:t>
            </w:r>
            <w:r w:rsidR="3EA76E98" w:rsidRPr="51F040F9">
              <w:rPr>
                <w:b/>
                <w:bCs/>
              </w:rPr>
              <w:t>l</w:t>
            </w:r>
            <w:r w:rsidR="00F71485" w:rsidRPr="51F040F9">
              <w:rPr>
                <w:b/>
                <w:bCs/>
              </w:rPr>
              <w:t>lectual property</w:t>
            </w:r>
          </w:p>
        </w:tc>
      </w:tr>
      <w:tr w:rsidR="0081303B" w14:paraId="065E9564" w14:textId="77777777" w:rsidTr="2FAFE03E">
        <w:tc>
          <w:tcPr>
            <w:tcW w:w="10141" w:type="dxa"/>
            <w:shd w:val="clear" w:color="auto" w:fill="FFFFFF" w:themeFill="background1"/>
          </w:tcPr>
          <w:p w14:paraId="4031DFDF" w14:textId="77777777" w:rsidR="008918DC" w:rsidRDefault="008918DC" w:rsidP="008918DC">
            <w:pPr>
              <w:rPr>
                <w:b/>
                <w:bCs/>
              </w:rPr>
            </w:pPr>
          </w:p>
          <w:p w14:paraId="68FFDFDC" w14:textId="08E57EE1" w:rsidR="008918DC" w:rsidRDefault="008918DC" w:rsidP="0081303B">
            <w:r>
              <w:t xml:space="preserve">Assets and all resources provided by ABL Health Ltd remain the intellectual property of the company. Any changes must not be made without obtaining written </w:t>
            </w:r>
            <w:r w:rsidR="008D4D5C">
              <w:t>permission.</w:t>
            </w:r>
            <w:r w:rsidR="26779887">
              <w:t xml:space="preserve"> </w:t>
            </w:r>
          </w:p>
          <w:p w14:paraId="1CD80120" w14:textId="7799F9E3" w:rsidR="00535E6E" w:rsidRPr="00BD2ABE" w:rsidRDefault="00535E6E" w:rsidP="0081303B"/>
          <w:p w14:paraId="0C5DD26F" w14:textId="774C06D0" w:rsidR="00535E6E" w:rsidRPr="00BD2ABE" w:rsidRDefault="00535E6E" w:rsidP="0081303B"/>
        </w:tc>
      </w:tr>
      <w:tr w:rsidR="0081303B" w14:paraId="6A65F691" w14:textId="77777777" w:rsidTr="2FAFE03E">
        <w:tc>
          <w:tcPr>
            <w:tcW w:w="10141" w:type="dxa"/>
            <w:shd w:val="clear" w:color="auto" w:fill="FFFFFF" w:themeFill="background1"/>
          </w:tcPr>
          <w:p w14:paraId="0CD1DF08" w14:textId="2FB01C46" w:rsidR="0081303B" w:rsidRPr="00A045A1" w:rsidRDefault="00816627" w:rsidP="0081303B">
            <w:pPr>
              <w:rPr>
                <w:b/>
                <w:bCs/>
              </w:rPr>
            </w:pPr>
            <w:r w:rsidRPr="00A045A1">
              <w:rPr>
                <w:b/>
                <w:bCs/>
              </w:rPr>
              <w:t>1</w:t>
            </w:r>
            <w:r w:rsidR="007A78F7" w:rsidRPr="00A045A1">
              <w:rPr>
                <w:b/>
                <w:bCs/>
              </w:rPr>
              <w:t>5</w:t>
            </w:r>
            <w:r w:rsidRPr="00A045A1">
              <w:rPr>
                <w:b/>
                <w:bCs/>
              </w:rPr>
              <w:t>.</w:t>
            </w:r>
            <w:r w:rsidR="00A84743" w:rsidRPr="00A045A1">
              <w:rPr>
                <w:b/>
                <w:bCs/>
              </w:rPr>
              <w:t>Termination and notice period</w:t>
            </w:r>
          </w:p>
        </w:tc>
      </w:tr>
      <w:tr w:rsidR="0081303B" w14:paraId="77ACF193" w14:textId="77777777" w:rsidTr="2FAFE03E">
        <w:tc>
          <w:tcPr>
            <w:tcW w:w="10141" w:type="dxa"/>
          </w:tcPr>
          <w:p w14:paraId="693C9429" w14:textId="77777777" w:rsidR="00A84743" w:rsidRDefault="00A84743" w:rsidP="00A84743">
            <w:pPr>
              <w:rPr>
                <w:b/>
                <w:bCs/>
              </w:rPr>
            </w:pPr>
          </w:p>
          <w:p w14:paraId="76AA56E6" w14:textId="77777777" w:rsidR="00C512B2" w:rsidRDefault="00A84743" w:rsidP="00A84743">
            <w:r>
              <w:t xml:space="preserve">If a contractor does not meet the quality standard or volume to maintain their competencies, it is a requirement that ABL Health Ltd will serve 1 months` notice. </w:t>
            </w:r>
          </w:p>
          <w:p w14:paraId="1AF22BD2" w14:textId="77777777" w:rsidR="00C512B2" w:rsidRDefault="00C512B2" w:rsidP="00A84743"/>
          <w:p w14:paraId="101B8BA3" w14:textId="77777777" w:rsidR="00C512B2" w:rsidRDefault="00A84743" w:rsidP="00A84743">
            <w:r>
              <w:t xml:space="preserve">To terminate their agreement, pharmacists must give 1 months` notice to ABL Health Ltd. </w:t>
            </w:r>
          </w:p>
          <w:p w14:paraId="2A7ADCC9" w14:textId="77777777" w:rsidR="00C512B2" w:rsidRDefault="00C512B2" w:rsidP="00A84743"/>
          <w:p w14:paraId="77867D99" w14:textId="0BC89EA5" w:rsidR="00750080" w:rsidRPr="00BD2ABE" w:rsidRDefault="00A84743" w:rsidP="00A84743">
            <w:r>
              <w:t xml:space="preserve">In these circumstances all smoking cessation equipment and resources must be returned to Smokefree </w:t>
            </w:r>
            <w:r w:rsidR="002730AE">
              <w:t>Sefton</w:t>
            </w:r>
            <w:r>
              <w:t xml:space="preserve"> specialist service</w:t>
            </w:r>
            <w:r w:rsidR="2E3F52EC">
              <w:t xml:space="preserve"> – failure to do so may result in a charge being made for replacement equipment.  </w:t>
            </w:r>
            <w:r w:rsidR="00750080">
              <w:t xml:space="preserve"> </w:t>
            </w:r>
          </w:p>
          <w:p w14:paraId="64B10F83" w14:textId="6852BDDA" w:rsidR="00750080" w:rsidRPr="00BD2ABE" w:rsidRDefault="00750080" w:rsidP="00A84743"/>
        </w:tc>
      </w:tr>
      <w:tr w:rsidR="00A84743" w14:paraId="76460144" w14:textId="77777777" w:rsidTr="2FAFE03E">
        <w:tc>
          <w:tcPr>
            <w:tcW w:w="10141" w:type="dxa"/>
            <w:shd w:val="clear" w:color="auto" w:fill="FFFFFF" w:themeFill="background1"/>
          </w:tcPr>
          <w:p w14:paraId="521477D5" w14:textId="3F68AE0A" w:rsidR="00A84743" w:rsidRPr="00A045A1" w:rsidRDefault="00631265" w:rsidP="0081303B">
            <w:pPr>
              <w:rPr>
                <w:b/>
                <w:bCs/>
              </w:rPr>
            </w:pPr>
            <w:r w:rsidRPr="00A045A1">
              <w:rPr>
                <w:b/>
                <w:bCs/>
              </w:rPr>
              <w:t>1</w:t>
            </w:r>
            <w:r w:rsidR="007A78F7" w:rsidRPr="00A045A1">
              <w:rPr>
                <w:b/>
                <w:bCs/>
              </w:rPr>
              <w:t>6</w:t>
            </w:r>
            <w:r w:rsidRPr="00A045A1">
              <w:rPr>
                <w:b/>
                <w:bCs/>
              </w:rPr>
              <w:t>.</w:t>
            </w:r>
            <w:r w:rsidR="00A84743" w:rsidRPr="00A045A1">
              <w:rPr>
                <w:b/>
                <w:bCs/>
              </w:rPr>
              <w:t>Liability</w:t>
            </w:r>
          </w:p>
        </w:tc>
      </w:tr>
      <w:tr w:rsidR="00A84743" w14:paraId="2A95DB50" w14:textId="77777777" w:rsidTr="2FAFE03E">
        <w:tc>
          <w:tcPr>
            <w:tcW w:w="10141" w:type="dxa"/>
          </w:tcPr>
          <w:p w14:paraId="78123AF3" w14:textId="77777777" w:rsidR="00A84743" w:rsidRDefault="00A84743" w:rsidP="00A84743">
            <w:pPr>
              <w:rPr>
                <w:b/>
                <w:bCs/>
              </w:rPr>
            </w:pPr>
          </w:p>
          <w:p w14:paraId="09F786BC" w14:textId="0BF90206" w:rsidR="00A84743" w:rsidRDefault="00BA6BA4" w:rsidP="00BA6BA4">
            <w:r w:rsidRPr="00BA6BA4">
              <w:t xml:space="preserve">The </w:t>
            </w:r>
            <w:r w:rsidR="007569AD" w:rsidRPr="00BA6BA4">
              <w:t>community pharmacists</w:t>
            </w:r>
            <w:r w:rsidRPr="00BA6BA4">
              <w:t xml:space="preserve"> providing the service shall maintain insurance in respect of public liability and personal indemnity against any claims, whatsoever which may arise out of the terms, conditions and obligations of this agreement.</w:t>
            </w:r>
            <w:r w:rsidR="007569AD">
              <w:t xml:space="preserve"> </w:t>
            </w:r>
            <w:r w:rsidRPr="00BA6BA4">
              <w:t>ABL Health Ltd will not have liability insurance to cover community pharmacists</w:t>
            </w:r>
            <w:r>
              <w:t xml:space="preserve">. </w:t>
            </w:r>
          </w:p>
          <w:p w14:paraId="76AB7434" w14:textId="4C9ABAE1" w:rsidR="007569AD" w:rsidRPr="00BD2ABE" w:rsidRDefault="007569AD" w:rsidP="00BA6BA4"/>
        </w:tc>
      </w:tr>
      <w:tr w:rsidR="00A84743" w14:paraId="78B8B3CF" w14:textId="77777777" w:rsidTr="2FAFE03E">
        <w:tc>
          <w:tcPr>
            <w:tcW w:w="10141" w:type="dxa"/>
            <w:shd w:val="clear" w:color="auto" w:fill="FFFFFF" w:themeFill="background1"/>
          </w:tcPr>
          <w:p w14:paraId="499BCA9D" w14:textId="71018B5B" w:rsidR="00A84743" w:rsidRPr="00A045A1" w:rsidRDefault="00631265" w:rsidP="0081303B">
            <w:pPr>
              <w:rPr>
                <w:b/>
                <w:bCs/>
              </w:rPr>
            </w:pPr>
            <w:r w:rsidRPr="00A045A1">
              <w:rPr>
                <w:b/>
                <w:bCs/>
              </w:rPr>
              <w:t>1</w:t>
            </w:r>
            <w:r w:rsidR="007A78F7" w:rsidRPr="00A045A1">
              <w:rPr>
                <w:b/>
                <w:bCs/>
              </w:rPr>
              <w:t>7</w:t>
            </w:r>
            <w:r w:rsidRPr="00A045A1">
              <w:rPr>
                <w:b/>
                <w:bCs/>
              </w:rPr>
              <w:t>.</w:t>
            </w:r>
            <w:r w:rsidR="00A84743" w:rsidRPr="00A045A1">
              <w:rPr>
                <w:b/>
                <w:bCs/>
              </w:rPr>
              <w:t>Commerciality</w:t>
            </w:r>
          </w:p>
        </w:tc>
      </w:tr>
      <w:tr w:rsidR="00A84743" w14:paraId="369BCACD" w14:textId="77777777" w:rsidTr="2FAFE03E">
        <w:tc>
          <w:tcPr>
            <w:tcW w:w="10141" w:type="dxa"/>
          </w:tcPr>
          <w:p w14:paraId="674DAAF5" w14:textId="77777777" w:rsidR="00A84743" w:rsidRDefault="00A84743" w:rsidP="00A84743"/>
          <w:p w14:paraId="60D7170A" w14:textId="29A4540B" w:rsidR="00A84743" w:rsidRPr="00BD2ABE" w:rsidRDefault="00A84743" w:rsidP="00A84743">
            <w:r>
              <w:t>Both parties must ensure the contents of this agreement are treated as ` Commercial in Confidence`</w:t>
            </w:r>
          </w:p>
        </w:tc>
      </w:tr>
    </w:tbl>
    <w:p w14:paraId="3EC35838" w14:textId="496EE71B" w:rsidR="0031613A" w:rsidRDefault="0031613A"/>
    <w:p w14:paraId="61069245" w14:textId="001262CF" w:rsidR="2090584F" w:rsidRDefault="2090584F"/>
    <w:p w14:paraId="13FA20ED" w14:textId="77777777" w:rsidR="00470132" w:rsidRDefault="00470132"/>
    <w:p w14:paraId="5C60F93F" w14:textId="77777777" w:rsidR="00470132" w:rsidRDefault="00470132"/>
    <w:p w14:paraId="29DF811B" w14:textId="77777777" w:rsidR="00470132" w:rsidRDefault="00470132"/>
    <w:p w14:paraId="0EC4A83F" w14:textId="77777777" w:rsidR="00470132" w:rsidRDefault="00470132"/>
    <w:p w14:paraId="5C32BA5A" w14:textId="77777777" w:rsidR="00470132" w:rsidRDefault="00470132"/>
    <w:p w14:paraId="7BF84648" w14:textId="77777777" w:rsidR="00470132" w:rsidRDefault="00470132"/>
    <w:p w14:paraId="531098EE" w14:textId="77777777" w:rsidR="00470132" w:rsidRDefault="00470132"/>
    <w:p w14:paraId="12A903F4" w14:textId="77777777" w:rsidR="00470132" w:rsidRDefault="00470132"/>
    <w:p w14:paraId="78ED8910" w14:textId="77777777" w:rsidR="00470132" w:rsidRDefault="00470132"/>
    <w:p w14:paraId="4223F68B" w14:textId="77777777" w:rsidR="00470132" w:rsidRDefault="00470132"/>
    <w:p w14:paraId="082A0CB8" w14:textId="5F49E80B" w:rsidR="00135177" w:rsidRPr="00470132" w:rsidRDefault="008752F7" w:rsidP="00135177">
      <w:pPr>
        <w:pStyle w:val="NoSpacing"/>
        <w:rPr>
          <w:b/>
          <w:bCs/>
          <w:sz w:val="28"/>
          <w:szCs w:val="28"/>
        </w:rPr>
      </w:pPr>
      <w:r w:rsidRPr="00470132">
        <w:rPr>
          <w:b/>
          <w:bCs/>
          <w:sz w:val="28"/>
          <w:szCs w:val="28"/>
        </w:rPr>
        <w:t>Appe</w:t>
      </w:r>
      <w:r w:rsidR="00135177" w:rsidRPr="00470132">
        <w:rPr>
          <w:b/>
          <w:bCs/>
          <w:sz w:val="28"/>
          <w:szCs w:val="28"/>
        </w:rPr>
        <w:t>ndix: 1</w:t>
      </w:r>
    </w:p>
    <w:p w14:paraId="0759D325" w14:textId="1C05EE16" w:rsidR="005932F4" w:rsidRDefault="005932F4" w:rsidP="00135177">
      <w:pPr>
        <w:pStyle w:val="NoSpacing"/>
        <w:rPr>
          <w:b/>
          <w:bCs/>
        </w:rPr>
      </w:pPr>
    </w:p>
    <w:p w14:paraId="5036997A" w14:textId="77777777" w:rsidR="00135177" w:rsidRDefault="00135177" w:rsidP="00135177">
      <w:pPr>
        <w:pStyle w:val="NoSpacing"/>
      </w:pPr>
    </w:p>
    <w:p w14:paraId="59AAC4B8" w14:textId="77777777" w:rsidR="00135177" w:rsidRPr="00470132" w:rsidRDefault="00135177" w:rsidP="00135177">
      <w:pPr>
        <w:pStyle w:val="NoSpacing"/>
        <w:rPr>
          <w:b/>
          <w:bCs/>
          <w:sz w:val="24"/>
          <w:szCs w:val="24"/>
        </w:rPr>
      </w:pPr>
      <w:r w:rsidRPr="00470132">
        <w:rPr>
          <w:b/>
          <w:bCs/>
          <w:sz w:val="24"/>
          <w:szCs w:val="24"/>
        </w:rPr>
        <w:t>Agreement for undertaking the delivery of Smoking Cessation Interventions in Pharmacies</w:t>
      </w:r>
    </w:p>
    <w:p w14:paraId="0749BA2A" w14:textId="77777777" w:rsidR="00135177" w:rsidRDefault="00135177" w:rsidP="00135177">
      <w:pPr>
        <w:pStyle w:val="NoSpacing"/>
      </w:pPr>
    </w:p>
    <w:p w14:paraId="32777F47" w14:textId="77777777" w:rsidR="00135177" w:rsidRDefault="00135177" w:rsidP="00135177">
      <w:pPr>
        <w:pStyle w:val="NoSpacing"/>
      </w:pPr>
      <w:r>
        <w:t>I certify that:</w:t>
      </w:r>
    </w:p>
    <w:p w14:paraId="2D5A8C1A" w14:textId="77777777" w:rsidR="00135177" w:rsidRDefault="00135177" w:rsidP="00135177">
      <w:pPr>
        <w:pStyle w:val="NoSpacing"/>
      </w:pPr>
    </w:p>
    <w:p w14:paraId="0FA7683F" w14:textId="6A3EF8A4" w:rsidR="00135177" w:rsidRDefault="41D424DE" w:rsidP="2090584F">
      <w:pPr>
        <w:pStyle w:val="NoSpacing"/>
      </w:pPr>
      <w:r>
        <w:t xml:space="preserve">Name of Pharmacy </w:t>
      </w:r>
      <w:r w:rsidR="572FED24">
        <w:t xml:space="preserve">Manager </w:t>
      </w:r>
      <w:r>
        <w:t>____________________________________________________</w:t>
      </w:r>
    </w:p>
    <w:p w14:paraId="1FCBB9A6" w14:textId="558204CF" w:rsidR="00135177" w:rsidRDefault="00135177" w:rsidP="2090584F">
      <w:pPr>
        <w:pStyle w:val="NoSpacing"/>
        <w:rPr>
          <w:b/>
          <w:bCs/>
          <w:i/>
          <w:iCs/>
        </w:rPr>
      </w:pPr>
      <w:r>
        <w:t xml:space="preserve">has considered and accepts the detail in this agreement and </w:t>
      </w:r>
      <w:r w:rsidR="00A045A1">
        <w:t>would deliver</w:t>
      </w:r>
      <w:r w:rsidR="1313E0BE">
        <w:t xml:space="preserve"> the following: </w:t>
      </w:r>
    </w:p>
    <w:p w14:paraId="65E37C19" w14:textId="752CE66C" w:rsidR="00135177" w:rsidRDefault="00135177" w:rsidP="2090584F">
      <w:pPr>
        <w:pStyle w:val="NoSpacing"/>
        <w:rPr>
          <w:b/>
          <w:bCs/>
          <w:i/>
          <w:iCs/>
        </w:rPr>
      </w:pPr>
    </w:p>
    <w:p w14:paraId="05BD9BF6" w14:textId="5AA7259B" w:rsidR="00135177" w:rsidRDefault="1313E0BE" w:rsidP="2090584F">
      <w:pPr>
        <w:pStyle w:val="NoSpacing"/>
        <w:rPr>
          <w:b/>
          <w:bCs/>
          <w:i/>
          <w:iCs/>
        </w:rPr>
      </w:pPr>
      <w:r w:rsidRPr="2090584F">
        <w:rPr>
          <w:b/>
          <w:bCs/>
          <w:i/>
          <w:iCs/>
        </w:rPr>
        <w:t>P</w:t>
      </w:r>
      <w:r w:rsidR="00135177" w:rsidRPr="2090584F">
        <w:rPr>
          <w:b/>
          <w:bCs/>
          <w:i/>
          <w:iCs/>
        </w:rPr>
        <w:t>lease tick the appropriate option</w:t>
      </w:r>
    </w:p>
    <w:p w14:paraId="5614F007" w14:textId="77777777" w:rsidR="00135177" w:rsidRDefault="00135177" w:rsidP="00135177">
      <w:pPr>
        <w:pStyle w:val="NoSpacing"/>
        <w:ind w:left="720"/>
      </w:pPr>
    </w:p>
    <w:p w14:paraId="7C491734" w14:textId="508C9142" w:rsidR="00135177" w:rsidRDefault="00135177" w:rsidP="00135177">
      <w:pPr>
        <w:pStyle w:val="NoSpacing"/>
      </w:pPr>
      <w:r>
        <w:t xml:space="preserve">  Option 1                                      </w:t>
      </w:r>
      <w:r w:rsidR="00A75FB5">
        <w:t xml:space="preserve">                                </w:t>
      </w:r>
      <w:r>
        <w:t xml:space="preserve">Option 2                                         </w:t>
      </w:r>
    </w:p>
    <w:p w14:paraId="1B0C1DDA" w14:textId="78BAC49F" w:rsidR="00135177" w:rsidRDefault="00135177" w:rsidP="00135177">
      <w:pPr>
        <w:pStyle w:val="NoSpacing"/>
      </w:pPr>
      <w:r>
        <w:t xml:space="preserve">  Dispensing NRT voucher      </w:t>
      </w:r>
      <w:r w:rsidR="00A75FB5">
        <w:t xml:space="preserve">                                    </w:t>
      </w:r>
      <w:r w:rsidR="0033365E">
        <w:t>Level 2</w:t>
      </w:r>
      <w:r>
        <w:t xml:space="preserve"> Smoking Cessation          </w:t>
      </w:r>
    </w:p>
    <w:p w14:paraId="0C86A396" w14:textId="64EB108B" w:rsidR="2090584F" w:rsidRDefault="2090584F" w:rsidP="2090584F">
      <w:pPr>
        <w:pStyle w:val="NoSpacing"/>
      </w:pPr>
    </w:p>
    <w:p w14:paraId="3AE206B1" w14:textId="73DB53BF" w:rsidR="00135177" w:rsidRDefault="00A75FB5" w:rsidP="00135177">
      <w:pPr>
        <w:pStyle w:val="NoSpacing"/>
      </w:pPr>
      <w:r>
        <w:rPr>
          <w:noProof/>
        </w:rPr>
        <mc:AlternateContent>
          <mc:Choice Requires="wps">
            <w:drawing>
              <wp:anchor distT="45720" distB="45720" distL="114300" distR="114300" simplePos="0" relativeHeight="251658241" behindDoc="0" locked="0" layoutInCell="1" allowOverlap="1" wp14:anchorId="59D2280C" wp14:editId="429CF408">
                <wp:simplePos x="0" y="0"/>
                <wp:positionH relativeFrom="column">
                  <wp:posOffset>3101340</wp:posOffset>
                </wp:positionH>
                <wp:positionV relativeFrom="paragraph">
                  <wp:posOffset>97790</wp:posOffset>
                </wp:positionV>
                <wp:extent cx="274320" cy="2514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51460"/>
                        </a:xfrm>
                        <a:prstGeom prst="rect">
                          <a:avLst/>
                        </a:prstGeom>
                        <a:solidFill>
                          <a:srgbClr val="FFFFFF"/>
                        </a:solidFill>
                        <a:ln w="9525">
                          <a:solidFill>
                            <a:srgbClr val="000000"/>
                          </a:solidFill>
                          <a:miter lim="800000"/>
                          <a:headEnd/>
                          <a:tailEnd/>
                        </a:ln>
                      </wps:spPr>
                      <wps:txbx>
                        <w:txbxContent>
                          <w:p w14:paraId="708DB114" w14:textId="68122D19" w:rsidR="00A75FB5" w:rsidRDefault="00A75F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2280C" id="_x0000_t202" coordsize="21600,21600" o:spt="202" path="m,l,21600r21600,l21600,xe">
                <v:stroke joinstyle="miter"/>
                <v:path gradientshapeok="t" o:connecttype="rect"/>
              </v:shapetype>
              <v:shape id="Text Box 2" o:spid="_x0000_s1026" type="#_x0000_t202" style="position:absolute;margin-left:244.2pt;margin-top:7.7pt;width:21.6pt;height:19.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">
                <v:textbox>
                  <w:txbxContent>
                    <w:p w14:paraId="708DB114" w14:textId="68122D19" w:rsidR="00A75FB5" w:rsidRDefault="00A75FB5"/>
                  </w:txbxContent>
                </v:textbox>
                <w10:wrap type="square"/>
              </v:shape>
            </w:pict>
          </mc:Fallback>
        </mc:AlternateContent>
      </w:r>
      <w:r w:rsidR="00135177">
        <w:rPr>
          <w:noProof/>
        </w:rPr>
        <mc:AlternateContent>
          <mc:Choice Requires="wps">
            <w:drawing>
              <wp:anchor distT="0" distB="0" distL="114300" distR="114300" simplePos="0" relativeHeight="251658240" behindDoc="0" locked="0" layoutInCell="1" allowOverlap="1" wp14:anchorId="0A76B5A6" wp14:editId="2B33545A">
                <wp:simplePos x="0" y="0"/>
                <wp:positionH relativeFrom="column">
                  <wp:posOffset>295275</wp:posOffset>
                </wp:positionH>
                <wp:positionV relativeFrom="paragraph">
                  <wp:posOffset>116840</wp:posOffset>
                </wp:positionV>
                <wp:extent cx="290195" cy="274320"/>
                <wp:effectExtent l="0" t="0" r="14605" b="11430"/>
                <wp:wrapNone/>
                <wp:docPr id="1" name="Text Box 1"/>
                <wp:cNvGraphicFramePr/>
                <a:graphic xmlns:a="http://schemas.openxmlformats.org/drawingml/2006/main">
                  <a:graphicData uri="http://schemas.microsoft.com/office/word/2010/wordprocessingShape">
                    <wps:wsp>
                      <wps:cNvSpPr txBox="1"/>
                      <wps:spPr>
                        <a:xfrm>
                          <a:off x="0" y="0"/>
                          <a:ext cx="290195" cy="274320"/>
                        </a:xfrm>
                        <a:prstGeom prst="rect">
                          <a:avLst/>
                        </a:prstGeom>
                        <a:solidFill>
                          <a:schemeClr val="lt1"/>
                        </a:solidFill>
                        <a:ln w="6350">
                          <a:solidFill>
                            <a:prstClr val="black"/>
                          </a:solidFill>
                        </a:ln>
                      </wps:spPr>
                      <wps:txbx>
                        <w:txbxContent>
                          <w:p w14:paraId="00EFAA57" w14:textId="77777777" w:rsidR="005B6F95" w:rsidRDefault="005B6F95" w:rsidP="001351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6B5A6" id="Text Box 1" o:spid="_x0000_s1027" type="#_x0000_t202" style="position:absolute;margin-left:23.25pt;margin-top:9.2pt;width:22.85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" fillcolor="white [3201]" strokeweight=".5pt">
                <v:textbox>
                  <w:txbxContent>
                    <w:p w14:paraId="00EFAA57" w14:textId="77777777" w:rsidR="005B6F95" w:rsidRDefault="005B6F95" w:rsidP="00135177"/>
                  </w:txbxContent>
                </v:textbox>
              </v:shape>
            </w:pict>
          </mc:Fallback>
        </mc:AlternateContent>
      </w:r>
    </w:p>
    <w:p w14:paraId="0C278D9E" w14:textId="136A6618" w:rsidR="00135177" w:rsidRDefault="00135177" w:rsidP="00135177">
      <w:pPr>
        <w:pStyle w:val="NoSpacing"/>
      </w:pPr>
      <w:r>
        <w:t xml:space="preserve">                                                           </w:t>
      </w:r>
      <w:r w:rsidR="00A75FB5">
        <w:t xml:space="preserve">    </w:t>
      </w:r>
      <w:r>
        <w:t xml:space="preserve">                                    </w:t>
      </w:r>
    </w:p>
    <w:p w14:paraId="51C2D5E7" w14:textId="77777777" w:rsidR="00135177" w:rsidRDefault="00135177" w:rsidP="00135177">
      <w:pPr>
        <w:pStyle w:val="NoSpacing"/>
      </w:pPr>
    </w:p>
    <w:p w14:paraId="3A94F0E2" w14:textId="2E1B836D" w:rsidR="00135177" w:rsidRPr="005E7790" w:rsidRDefault="00135177" w:rsidP="00A75FB5">
      <w:pPr>
        <w:pStyle w:val="NoSpacing"/>
        <w:numPr>
          <w:ilvl w:val="0"/>
          <w:numId w:val="25"/>
        </w:numPr>
      </w:pPr>
      <w:r>
        <w:t>I …………………………………………………… accept all the terms and conditions set out in this agreement</w:t>
      </w:r>
    </w:p>
    <w:p w14:paraId="700927FC" w14:textId="795D1F4B" w:rsidR="00135177" w:rsidRDefault="00135177" w:rsidP="00A75FB5">
      <w:pPr>
        <w:pStyle w:val="NoSpacing"/>
      </w:pPr>
      <w:r>
        <w:t xml:space="preserve">              </w:t>
      </w:r>
    </w:p>
    <w:p w14:paraId="2A4FE8C2" w14:textId="77777777" w:rsidR="00135177" w:rsidRDefault="00135177" w:rsidP="00135177">
      <w:pPr>
        <w:jc w:val="center"/>
      </w:pPr>
      <w:r>
        <w:t>Between:</w:t>
      </w:r>
    </w:p>
    <w:p w14:paraId="56A117D7" w14:textId="77777777" w:rsidR="00135177" w:rsidRDefault="00135177" w:rsidP="00135177">
      <w:pPr>
        <w:pStyle w:val="NoSpacing"/>
        <w:jc w:val="center"/>
      </w:pPr>
    </w:p>
    <w:p w14:paraId="16C08C71" w14:textId="73CA2DE7" w:rsidR="00135177" w:rsidRPr="00CB7E37" w:rsidRDefault="010DBCC3" w:rsidP="00135177">
      <w:pPr>
        <w:pStyle w:val="NoSpacing"/>
        <w:jc w:val="center"/>
        <w:rPr>
          <w:b/>
          <w:bCs/>
          <w:sz w:val="24"/>
          <w:szCs w:val="24"/>
        </w:rPr>
      </w:pPr>
      <w:r w:rsidRPr="00CB7E37">
        <w:rPr>
          <w:b/>
          <w:bCs/>
          <w:sz w:val="24"/>
          <w:szCs w:val="24"/>
        </w:rPr>
        <w:t xml:space="preserve">Smokefree Sefton, </w:t>
      </w:r>
    </w:p>
    <w:p w14:paraId="098DF971" w14:textId="24DDCFDA" w:rsidR="00135177" w:rsidRPr="00CB7E37" w:rsidRDefault="4C6B0FD3" w:rsidP="00135177">
      <w:pPr>
        <w:pStyle w:val="NoSpacing"/>
        <w:jc w:val="center"/>
        <w:rPr>
          <w:b/>
          <w:bCs/>
        </w:rPr>
      </w:pPr>
      <w:r w:rsidRPr="00CB7E37">
        <w:rPr>
          <w:b/>
          <w:bCs/>
        </w:rPr>
        <w:t xml:space="preserve">Head office: </w:t>
      </w:r>
      <w:r w:rsidR="00135177" w:rsidRPr="00CB7E37">
        <w:rPr>
          <w:b/>
          <w:bCs/>
        </w:rPr>
        <w:t>ABL Health Ltd</w:t>
      </w:r>
      <w:r w:rsidR="725C61D2" w:rsidRPr="00CB7E37">
        <w:rPr>
          <w:b/>
          <w:bCs/>
        </w:rPr>
        <w:t>,</w:t>
      </w:r>
      <w:r w:rsidR="00135177" w:rsidRPr="00CB7E37">
        <w:rPr>
          <w:b/>
          <w:bCs/>
        </w:rPr>
        <w:t>71 Redgate Way</w:t>
      </w:r>
      <w:r w:rsidR="00E6965D" w:rsidRPr="00CB7E37">
        <w:rPr>
          <w:b/>
          <w:bCs/>
        </w:rPr>
        <w:t>,</w:t>
      </w:r>
      <w:r w:rsidR="4B541A58" w:rsidRPr="00CB7E37">
        <w:rPr>
          <w:b/>
          <w:bCs/>
        </w:rPr>
        <w:t xml:space="preserve"> </w:t>
      </w:r>
      <w:r w:rsidR="00135177" w:rsidRPr="00CB7E37">
        <w:rPr>
          <w:b/>
          <w:bCs/>
        </w:rPr>
        <w:t>Farnworth</w:t>
      </w:r>
      <w:r w:rsidR="2126CDED" w:rsidRPr="00CB7E37">
        <w:rPr>
          <w:b/>
          <w:bCs/>
        </w:rPr>
        <w:t xml:space="preserve">, </w:t>
      </w:r>
      <w:r w:rsidR="00135177" w:rsidRPr="00CB7E37">
        <w:rPr>
          <w:b/>
          <w:bCs/>
        </w:rPr>
        <w:t>Bolton</w:t>
      </w:r>
      <w:r w:rsidR="5A5B8B7D" w:rsidRPr="00CB7E37">
        <w:rPr>
          <w:b/>
          <w:bCs/>
        </w:rPr>
        <w:t xml:space="preserve"> </w:t>
      </w:r>
      <w:r w:rsidR="00135177" w:rsidRPr="00CB7E37">
        <w:rPr>
          <w:b/>
          <w:bCs/>
        </w:rPr>
        <w:t>BL4 0JL</w:t>
      </w:r>
    </w:p>
    <w:p w14:paraId="26A709AB" w14:textId="77777777" w:rsidR="00135177" w:rsidRDefault="00135177" w:rsidP="00135177">
      <w:pPr>
        <w:pStyle w:val="NoSpacing"/>
        <w:jc w:val="center"/>
      </w:pPr>
    </w:p>
    <w:p w14:paraId="712A9FA3" w14:textId="77777777" w:rsidR="00135177" w:rsidRPr="00CB7E37" w:rsidRDefault="00135177" w:rsidP="00135177">
      <w:pPr>
        <w:pStyle w:val="NoSpacing"/>
        <w:jc w:val="center"/>
        <w:rPr>
          <w:b/>
          <w:bCs/>
        </w:rPr>
      </w:pPr>
      <w:r w:rsidRPr="00CB7E37">
        <w:rPr>
          <w:b/>
          <w:bCs/>
        </w:rPr>
        <w:t>AND</w:t>
      </w:r>
    </w:p>
    <w:tbl>
      <w:tblPr>
        <w:tblStyle w:val="TableGrid"/>
        <w:tblW w:w="0" w:type="auto"/>
        <w:tblLook w:val="04A0" w:firstRow="1" w:lastRow="0" w:firstColumn="1" w:lastColumn="0" w:noHBand="0" w:noVBand="1"/>
      </w:tblPr>
      <w:tblGrid>
        <w:gridCol w:w="2263"/>
        <w:gridCol w:w="7087"/>
      </w:tblGrid>
      <w:tr w:rsidR="00C512B2" w14:paraId="408D7E92" w14:textId="77777777" w:rsidTr="00C512B2">
        <w:tc>
          <w:tcPr>
            <w:tcW w:w="2263" w:type="dxa"/>
          </w:tcPr>
          <w:p w14:paraId="7078CC4C" w14:textId="0C5AA7E4" w:rsidR="00C512B2" w:rsidRPr="00CB7E37" w:rsidRDefault="00C512B2" w:rsidP="00CB7E37">
            <w:pPr>
              <w:pStyle w:val="NoSpacing"/>
              <w:rPr>
                <w:b/>
                <w:bCs/>
              </w:rPr>
            </w:pPr>
            <w:r w:rsidRPr="00CB7E37">
              <w:rPr>
                <w:b/>
                <w:bCs/>
              </w:rPr>
              <w:t>Pharmacy Name and ODS Code</w:t>
            </w:r>
          </w:p>
        </w:tc>
        <w:tc>
          <w:tcPr>
            <w:tcW w:w="7087" w:type="dxa"/>
          </w:tcPr>
          <w:p w14:paraId="65426E47" w14:textId="77777777" w:rsidR="00C512B2" w:rsidRDefault="00C512B2" w:rsidP="00135177">
            <w:pPr>
              <w:pStyle w:val="NoSpacing"/>
              <w:jc w:val="center"/>
            </w:pPr>
          </w:p>
        </w:tc>
      </w:tr>
      <w:tr w:rsidR="00C512B2" w14:paraId="6352CB5E" w14:textId="77777777" w:rsidTr="00C512B2">
        <w:tc>
          <w:tcPr>
            <w:tcW w:w="2263" w:type="dxa"/>
          </w:tcPr>
          <w:p w14:paraId="4D304619" w14:textId="77777777" w:rsidR="00C512B2" w:rsidRPr="00CB7E37" w:rsidRDefault="00C512B2" w:rsidP="00CB7E37">
            <w:pPr>
              <w:pStyle w:val="NoSpacing"/>
              <w:rPr>
                <w:b/>
                <w:bCs/>
              </w:rPr>
            </w:pPr>
            <w:r w:rsidRPr="00CB7E37">
              <w:rPr>
                <w:b/>
                <w:bCs/>
              </w:rPr>
              <w:t>Pharmacy Address</w:t>
            </w:r>
          </w:p>
          <w:p w14:paraId="0F3D8CA5" w14:textId="0F474F3E" w:rsidR="00C512B2" w:rsidRPr="00CB7E37" w:rsidRDefault="00C512B2" w:rsidP="00CB7E37">
            <w:pPr>
              <w:pStyle w:val="NoSpacing"/>
              <w:rPr>
                <w:b/>
                <w:bCs/>
              </w:rPr>
            </w:pPr>
          </w:p>
        </w:tc>
        <w:tc>
          <w:tcPr>
            <w:tcW w:w="7087" w:type="dxa"/>
          </w:tcPr>
          <w:p w14:paraId="57604528" w14:textId="77777777" w:rsidR="00C512B2" w:rsidRDefault="00C512B2" w:rsidP="00135177">
            <w:pPr>
              <w:pStyle w:val="NoSpacing"/>
              <w:jc w:val="center"/>
            </w:pPr>
          </w:p>
          <w:p w14:paraId="6628CC12" w14:textId="77777777" w:rsidR="00CB7E37" w:rsidRDefault="00CB7E37" w:rsidP="00135177">
            <w:pPr>
              <w:pStyle w:val="NoSpacing"/>
              <w:jc w:val="center"/>
            </w:pPr>
          </w:p>
          <w:p w14:paraId="4749551B" w14:textId="77777777" w:rsidR="00CB7E37" w:rsidRDefault="00CB7E37" w:rsidP="00135177">
            <w:pPr>
              <w:pStyle w:val="NoSpacing"/>
              <w:jc w:val="center"/>
            </w:pPr>
          </w:p>
        </w:tc>
      </w:tr>
      <w:tr w:rsidR="00C512B2" w14:paraId="4496899E" w14:textId="77777777" w:rsidTr="00C512B2">
        <w:tc>
          <w:tcPr>
            <w:tcW w:w="2263" w:type="dxa"/>
          </w:tcPr>
          <w:p w14:paraId="7A50B7D3" w14:textId="76460522" w:rsidR="00C512B2" w:rsidRPr="00CB7E37" w:rsidRDefault="00C512B2" w:rsidP="00CB7E37">
            <w:pPr>
              <w:pStyle w:val="NoSpacing"/>
              <w:rPr>
                <w:b/>
                <w:bCs/>
              </w:rPr>
            </w:pPr>
            <w:r w:rsidRPr="00CB7E37">
              <w:rPr>
                <w:b/>
                <w:bCs/>
              </w:rPr>
              <w:t>Telephone Number</w:t>
            </w:r>
          </w:p>
        </w:tc>
        <w:tc>
          <w:tcPr>
            <w:tcW w:w="7087" w:type="dxa"/>
          </w:tcPr>
          <w:p w14:paraId="47A33D9C" w14:textId="77777777" w:rsidR="00C512B2" w:rsidRDefault="00C512B2" w:rsidP="00135177">
            <w:pPr>
              <w:pStyle w:val="NoSpacing"/>
              <w:jc w:val="center"/>
            </w:pPr>
          </w:p>
          <w:p w14:paraId="05A92253" w14:textId="77777777" w:rsidR="00CB7E37" w:rsidRDefault="00CB7E37" w:rsidP="00135177">
            <w:pPr>
              <w:pStyle w:val="NoSpacing"/>
              <w:jc w:val="center"/>
            </w:pPr>
          </w:p>
        </w:tc>
      </w:tr>
      <w:tr w:rsidR="00C512B2" w14:paraId="66A8982F" w14:textId="77777777" w:rsidTr="00C512B2">
        <w:tc>
          <w:tcPr>
            <w:tcW w:w="2263" w:type="dxa"/>
          </w:tcPr>
          <w:p w14:paraId="5E2A4677" w14:textId="11897C4E" w:rsidR="00C512B2" w:rsidRPr="00CB7E37" w:rsidRDefault="00C512B2" w:rsidP="00CB7E37">
            <w:pPr>
              <w:pStyle w:val="NoSpacing"/>
              <w:rPr>
                <w:b/>
                <w:bCs/>
              </w:rPr>
            </w:pPr>
            <w:r w:rsidRPr="00CB7E37">
              <w:rPr>
                <w:b/>
                <w:bCs/>
              </w:rPr>
              <w:t xml:space="preserve">Email Address  </w:t>
            </w:r>
          </w:p>
        </w:tc>
        <w:tc>
          <w:tcPr>
            <w:tcW w:w="7087" w:type="dxa"/>
          </w:tcPr>
          <w:p w14:paraId="1BB525D0" w14:textId="77777777" w:rsidR="00C512B2" w:rsidRDefault="00C512B2" w:rsidP="00135177">
            <w:pPr>
              <w:pStyle w:val="NoSpacing"/>
              <w:jc w:val="center"/>
            </w:pPr>
          </w:p>
          <w:p w14:paraId="16DE3BCB" w14:textId="77777777" w:rsidR="00CB7E37" w:rsidRDefault="00CB7E37" w:rsidP="00135177">
            <w:pPr>
              <w:pStyle w:val="NoSpacing"/>
              <w:jc w:val="center"/>
            </w:pPr>
          </w:p>
        </w:tc>
      </w:tr>
      <w:tr w:rsidR="00C512B2" w14:paraId="223535D5" w14:textId="77777777" w:rsidTr="00C512B2">
        <w:tc>
          <w:tcPr>
            <w:tcW w:w="2263" w:type="dxa"/>
          </w:tcPr>
          <w:p w14:paraId="6CE3412D" w14:textId="77E90181" w:rsidR="00C512B2" w:rsidRPr="00CB7E37" w:rsidRDefault="00CB7E37" w:rsidP="00CB7E37">
            <w:pPr>
              <w:pStyle w:val="NoSpacing"/>
              <w:rPr>
                <w:b/>
                <w:bCs/>
              </w:rPr>
            </w:pPr>
            <w:r w:rsidRPr="00CB7E37">
              <w:rPr>
                <w:b/>
                <w:bCs/>
              </w:rPr>
              <w:t>Print Name</w:t>
            </w:r>
          </w:p>
        </w:tc>
        <w:tc>
          <w:tcPr>
            <w:tcW w:w="7087" w:type="dxa"/>
          </w:tcPr>
          <w:p w14:paraId="14E2C9F9" w14:textId="77777777" w:rsidR="00C512B2" w:rsidRDefault="00C512B2" w:rsidP="00135177">
            <w:pPr>
              <w:pStyle w:val="NoSpacing"/>
              <w:jc w:val="center"/>
            </w:pPr>
          </w:p>
          <w:p w14:paraId="65485016" w14:textId="77777777" w:rsidR="00CB7E37" w:rsidRDefault="00CB7E37" w:rsidP="00135177">
            <w:pPr>
              <w:pStyle w:val="NoSpacing"/>
              <w:jc w:val="center"/>
            </w:pPr>
          </w:p>
        </w:tc>
      </w:tr>
      <w:tr w:rsidR="00C512B2" w14:paraId="6DD4B0D5" w14:textId="77777777" w:rsidTr="00C512B2">
        <w:tc>
          <w:tcPr>
            <w:tcW w:w="2263" w:type="dxa"/>
          </w:tcPr>
          <w:p w14:paraId="6E5EFE0C" w14:textId="4777D486" w:rsidR="00C512B2" w:rsidRPr="00CB7E37" w:rsidRDefault="00CB7E37" w:rsidP="00CB7E37">
            <w:pPr>
              <w:pStyle w:val="NoSpacing"/>
              <w:rPr>
                <w:b/>
                <w:bCs/>
              </w:rPr>
            </w:pPr>
            <w:r w:rsidRPr="00CB7E37">
              <w:rPr>
                <w:b/>
                <w:bCs/>
              </w:rPr>
              <w:t>Signature</w:t>
            </w:r>
          </w:p>
        </w:tc>
        <w:tc>
          <w:tcPr>
            <w:tcW w:w="7087" w:type="dxa"/>
          </w:tcPr>
          <w:p w14:paraId="35539E36" w14:textId="77777777" w:rsidR="00C512B2" w:rsidRDefault="00C512B2" w:rsidP="00135177">
            <w:pPr>
              <w:pStyle w:val="NoSpacing"/>
              <w:jc w:val="center"/>
            </w:pPr>
          </w:p>
          <w:p w14:paraId="4D45121D" w14:textId="77777777" w:rsidR="00CB7E37" w:rsidRDefault="00CB7E37" w:rsidP="00135177">
            <w:pPr>
              <w:pStyle w:val="NoSpacing"/>
              <w:jc w:val="center"/>
            </w:pPr>
          </w:p>
        </w:tc>
      </w:tr>
      <w:tr w:rsidR="00CB7E37" w14:paraId="3B381894" w14:textId="77777777" w:rsidTr="00CB7E37">
        <w:tc>
          <w:tcPr>
            <w:tcW w:w="2263" w:type="dxa"/>
          </w:tcPr>
          <w:p w14:paraId="3490CFEB" w14:textId="7392A327" w:rsidR="00CB7E37" w:rsidRPr="00CB7E37" w:rsidRDefault="00CB7E37" w:rsidP="00CB7E37">
            <w:pPr>
              <w:pStyle w:val="NoSpacing"/>
              <w:rPr>
                <w:b/>
                <w:bCs/>
              </w:rPr>
            </w:pPr>
            <w:r w:rsidRPr="00CB7E37">
              <w:rPr>
                <w:b/>
                <w:bCs/>
              </w:rPr>
              <w:t>Date</w:t>
            </w:r>
          </w:p>
        </w:tc>
        <w:tc>
          <w:tcPr>
            <w:tcW w:w="7087" w:type="dxa"/>
            <w:tcBorders>
              <w:bottom w:val="outset" w:sz="6" w:space="0" w:color="auto"/>
            </w:tcBorders>
          </w:tcPr>
          <w:p w14:paraId="088DE389" w14:textId="77777777" w:rsidR="00CB7E37" w:rsidRDefault="00CB7E37" w:rsidP="00135177">
            <w:pPr>
              <w:pStyle w:val="NoSpacing"/>
              <w:jc w:val="center"/>
            </w:pPr>
          </w:p>
          <w:p w14:paraId="32853467" w14:textId="77777777" w:rsidR="00CB7E37" w:rsidRDefault="00CB7E37" w:rsidP="00135177">
            <w:pPr>
              <w:pStyle w:val="NoSpacing"/>
              <w:jc w:val="center"/>
            </w:pPr>
          </w:p>
        </w:tc>
      </w:tr>
    </w:tbl>
    <w:p w14:paraId="35445606" w14:textId="77777777" w:rsidR="005932F4" w:rsidRPr="009B4D94" w:rsidRDefault="005932F4" w:rsidP="005932F4">
      <w:pPr>
        <w:pStyle w:val="NoSpacing"/>
        <w:rPr>
          <w:b/>
          <w:bCs/>
        </w:rPr>
      </w:pPr>
    </w:p>
    <w:p w14:paraId="6A19774A" w14:textId="77777777" w:rsidR="005932F4" w:rsidRDefault="005932F4" w:rsidP="005932F4">
      <w:pPr>
        <w:pStyle w:val="NoSpacing"/>
        <w:rPr>
          <w:b/>
          <w:bCs/>
        </w:rPr>
      </w:pPr>
    </w:p>
    <w:p w14:paraId="5C9A03DD" w14:textId="77777777" w:rsidR="00FC2FA7" w:rsidRDefault="00FC2FA7" w:rsidP="005932F4">
      <w:pPr>
        <w:pStyle w:val="NoSpacing"/>
        <w:rPr>
          <w:b/>
          <w:bCs/>
        </w:rPr>
      </w:pPr>
    </w:p>
    <w:p w14:paraId="71649FFA" w14:textId="77777777" w:rsidR="00C74E61" w:rsidRDefault="00C74E61" w:rsidP="005932F4">
      <w:pPr>
        <w:pStyle w:val="NoSpacing"/>
        <w:rPr>
          <w:b/>
          <w:bCs/>
        </w:rPr>
      </w:pPr>
    </w:p>
    <w:p w14:paraId="19A4FAE0" w14:textId="79FCD0DA" w:rsidR="005932F4" w:rsidRPr="00470132" w:rsidRDefault="005932F4" w:rsidP="005932F4">
      <w:pPr>
        <w:pStyle w:val="NoSpacing"/>
        <w:rPr>
          <w:b/>
          <w:bCs/>
          <w:sz w:val="28"/>
          <w:szCs w:val="28"/>
        </w:rPr>
      </w:pPr>
      <w:r w:rsidRPr="00470132">
        <w:rPr>
          <w:b/>
          <w:bCs/>
          <w:sz w:val="28"/>
          <w:szCs w:val="28"/>
        </w:rPr>
        <w:t>Appendix: 2</w:t>
      </w:r>
    </w:p>
    <w:p w14:paraId="068F0F2D" w14:textId="3945E712" w:rsidR="005932F4" w:rsidRDefault="005932F4" w:rsidP="005932F4">
      <w:pPr>
        <w:pStyle w:val="NoSpacing"/>
        <w:rPr>
          <w:b/>
          <w:bCs/>
        </w:rPr>
      </w:pPr>
    </w:p>
    <w:p w14:paraId="69391CEB" w14:textId="77777777" w:rsidR="005932F4" w:rsidRDefault="005932F4" w:rsidP="005932F4">
      <w:pPr>
        <w:pStyle w:val="NoSpacing"/>
      </w:pPr>
    </w:p>
    <w:p w14:paraId="4F175064" w14:textId="77777777" w:rsidR="005932F4" w:rsidRDefault="005932F4" w:rsidP="005932F4">
      <w:pPr>
        <w:pStyle w:val="NoSpacing"/>
      </w:pPr>
      <w:bookmarkStart w:id="0" w:name="_Hlk132131525"/>
      <w:r>
        <w:t>Form for completion for pharmacies to provide bank details to receive payment by BACS transfer for their related subcontracted services.</w:t>
      </w:r>
    </w:p>
    <w:p w14:paraId="4C73F12E" w14:textId="77777777" w:rsidR="005932F4" w:rsidRDefault="005932F4" w:rsidP="005932F4">
      <w:pPr>
        <w:pStyle w:val="NoSpacing"/>
      </w:pPr>
    </w:p>
    <w:p w14:paraId="16F85E49" w14:textId="1835ECC3" w:rsidR="005932F4" w:rsidRPr="00C512B2" w:rsidRDefault="005932F4" w:rsidP="005932F4">
      <w:pPr>
        <w:pStyle w:val="NoSpacing"/>
      </w:pPr>
      <w:r>
        <w:t>Please email the completed form</w:t>
      </w:r>
      <w:r w:rsidR="001F390D">
        <w:t>s (Appendices 1 and 2)</w:t>
      </w:r>
      <w:r>
        <w:t xml:space="preserve"> securely to</w:t>
      </w:r>
      <w:r w:rsidR="00A045A1">
        <w:t xml:space="preserve"> </w:t>
      </w:r>
      <w:hyperlink r:id="rId17" w:history="1">
        <w:r w:rsidR="00470132" w:rsidRPr="000E6BBA">
          <w:rPr>
            <w:rStyle w:val="Hyperlink"/>
          </w:rPr>
          <w:t>smokefree.sefton@nhs.net</w:t>
        </w:r>
      </w:hyperlink>
      <w:r w:rsidR="00470132">
        <w:rPr>
          <w:color w:val="4472C4" w:themeColor="accent1"/>
        </w:rPr>
        <w:t xml:space="preserve"> </w:t>
      </w:r>
      <w:r w:rsidR="00470132" w:rsidRPr="00C512B2">
        <w:t xml:space="preserve"> for attention of Martin </w:t>
      </w:r>
      <w:r w:rsidR="00C512B2">
        <w:t>M</w:t>
      </w:r>
      <w:r w:rsidR="00470132" w:rsidRPr="00C512B2">
        <w:t>ierzwa</w:t>
      </w:r>
      <w:r w:rsidR="00CB7E37">
        <w:t>.</w:t>
      </w:r>
    </w:p>
    <w:p w14:paraId="5145D190" w14:textId="77777777" w:rsidR="005932F4" w:rsidRDefault="005932F4" w:rsidP="005932F4">
      <w:pPr>
        <w:pStyle w:val="NoSpacing"/>
      </w:pPr>
    </w:p>
    <w:p w14:paraId="7E85603E" w14:textId="77777777" w:rsidR="005932F4" w:rsidRDefault="005932F4" w:rsidP="005932F4">
      <w:pPr>
        <w:pStyle w:val="NoSpacing"/>
      </w:pPr>
    </w:p>
    <w:tbl>
      <w:tblPr>
        <w:tblStyle w:val="TableGrid"/>
        <w:tblW w:w="0" w:type="auto"/>
        <w:tblLook w:val="04A0" w:firstRow="1" w:lastRow="0" w:firstColumn="1" w:lastColumn="0" w:noHBand="0" w:noVBand="1"/>
      </w:tblPr>
      <w:tblGrid>
        <w:gridCol w:w="2605"/>
        <w:gridCol w:w="6462"/>
      </w:tblGrid>
      <w:tr w:rsidR="005932F4" w14:paraId="52867369" w14:textId="77777777" w:rsidTr="00CB7E37">
        <w:tc>
          <w:tcPr>
            <w:tcW w:w="2605" w:type="dxa"/>
          </w:tcPr>
          <w:p w14:paraId="5DCA300B" w14:textId="77777777" w:rsidR="005932F4" w:rsidRDefault="005932F4" w:rsidP="005B6F95">
            <w:pPr>
              <w:pStyle w:val="NoSpacing"/>
            </w:pPr>
            <w:r>
              <w:t>Name of Payee:</w:t>
            </w:r>
          </w:p>
          <w:p w14:paraId="30A20A36" w14:textId="77777777" w:rsidR="005932F4" w:rsidRDefault="005932F4" w:rsidP="005B6F95">
            <w:pPr>
              <w:pStyle w:val="NoSpacing"/>
            </w:pPr>
          </w:p>
        </w:tc>
        <w:tc>
          <w:tcPr>
            <w:tcW w:w="6462" w:type="dxa"/>
          </w:tcPr>
          <w:p w14:paraId="536E88E4" w14:textId="77777777" w:rsidR="005932F4" w:rsidRDefault="005932F4" w:rsidP="005B6F95">
            <w:pPr>
              <w:pStyle w:val="NoSpacing"/>
            </w:pPr>
          </w:p>
        </w:tc>
      </w:tr>
      <w:tr w:rsidR="005932F4" w14:paraId="5D378A83" w14:textId="77777777" w:rsidTr="00CB7E37">
        <w:tc>
          <w:tcPr>
            <w:tcW w:w="2605" w:type="dxa"/>
          </w:tcPr>
          <w:p w14:paraId="0B066228" w14:textId="77777777" w:rsidR="005932F4" w:rsidRDefault="005932F4" w:rsidP="005B6F95">
            <w:pPr>
              <w:pStyle w:val="NoSpacing"/>
            </w:pPr>
            <w:r>
              <w:t>Name of Pharmacy:</w:t>
            </w:r>
          </w:p>
          <w:p w14:paraId="0EF0584C" w14:textId="77777777" w:rsidR="005932F4" w:rsidRDefault="005932F4" w:rsidP="005B6F95">
            <w:pPr>
              <w:pStyle w:val="NoSpacing"/>
            </w:pPr>
          </w:p>
        </w:tc>
        <w:tc>
          <w:tcPr>
            <w:tcW w:w="6462" w:type="dxa"/>
          </w:tcPr>
          <w:p w14:paraId="35782531" w14:textId="77777777" w:rsidR="005932F4" w:rsidRDefault="005932F4" w:rsidP="005B6F95">
            <w:pPr>
              <w:pStyle w:val="NoSpacing"/>
            </w:pPr>
          </w:p>
        </w:tc>
      </w:tr>
      <w:tr w:rsidR="00DF1D74" w14:paraId="3D55D620" w14:textId="77777777" w:rsidTr="00CB7E37">
        <w:tc>
          <w:tcPr>
            <w:tcW w:w="2605" w:type="dxa"/>
          </w:tcPr>
          <w:p w14:paraId="43AD6EB9" w14:textId="2F947EF5" w:rsidR="00DF1D74" w:rsidRDefault="00DF1D74" w:rsidP="005B6F95">
            <w:pPr>
              <w:pStyle w:val="NoSpacing"/>
            </w:pPr>
            <w:r>
              <w:t xml:space="preserve">ODS Code: </w:t>
            </w:r>
          </w:p>
        </w:tc>
        <w:tc>
          <w:tcPr>
            <w:tcW w:w="6462" w:type="dxa"/>
          </w:tcPr>
          <w:p w14:paraId="38E16094" w14:textId="77777777" w:rsidR="00DF1D74" w:rsidRDefault="00DF1D74" w:rsidP="005B6F95">
            <w:pPr>
              <w:pStyle w:val="NoSpacing"/>
            </w:pPr>
          </w:p>
          <w:p w14:paraId="6F7D84A0" w14:textId="77777777" w:rsidR="00C512B2" w:rsidRDefault="00C512B2" w:rsidP="005B6F95">
            <w:pPr>
              <w:pStyle w:val="NoSpacing"/>
            </w:pPr>
          </w:p>
        </w:tc>
      </w:tr>
      <w:tr w:rsidR="005932F4" w14:paraId="43188363" w14:textId="77777777" w:rsidTr="00CB7E37">
        <w:tc>
          <w:tcPr>
            <w:tcW w:w="2605" w:type="dxa"/>
          </w:tcPr>
          <w:p w14:paraId="36C9A8E5" w14:textId="77777777" w:rsidR="005932F4" w:rsidRDefault="005932F4" w:rsidP="005B6F95">
            <w:pPr>
              <w:pStyle w:val="NoSpacing"/>
            </w:pPr>
            <w:r>
              <w:t>Address of Pharmacy including post code:</w:t>
            </w:r>
          </w:p>
          <w:p w14:paraId="716122D8" w14:textId="77777777" w:rsidR="005932F4" w:rsidRDefault="005932F4" w:rsidP="005B6F95">
            <w:pPr>
              <w:pStyle w:val="NoSpacing"/>
            </w:pPr>
          </w:p>
          <w:p w14:paraId="3682A783" w14:textId="77777777" w:rsidR="005932F4" w:rsidRDefault="005932F4" w:rsidP="005B6F95">
            <w:pPr>
              <w:pStyle w:val="NoSpacing"/>
            </w:pPr>
          </w:p>
          <w:p w14:paraId="4D612DEC" w14:textId="77777777" w:rsidR="005932F4" w:rsidRDefault="005932F4" w:rsidP="005B6F95">
            <w:pPr>
              <w:pStyle w:val="NoSpacing"/>
            </w:pPr>
          </w:p>
        </w:tc>
        <w:tc>
          <w:tcPr>
            <w:tcW w:w="6462" w:type="dxa"/>
          </w:tcPr>
          <w:p w14:paraId="242B8EB4" w14:textId="77777777" w:rsidR="005932F4" w:rsidRDefault="005932F4" w:rsidP="005B6F95">
            <w:pPr>
              <w:pStyle w:val="NoSpacing"/>
            </w:pPr>
          </w:p>
          <w:p w14:paraId="360E4C4F" w14:textId="77777777" w:rsidR="005932F4" w:rsidRDefault="005932F4" w:rsidP="005B6F95">
            <w:pPr>
              <w:pStyle w:val="NoSpacing"/>
            </w:pPr>
          </w:p>
          <w:p w14:paraId="5D924006" w14:textId="77777777" w:rsidR="005932F4" w:rsidRDefault="005932F4" w:rsidP="005B6F95">
            <w:pPr>
              <w:pStyle w:val="NoSpacing"/>
            </w:pPr>
          </w:p>
          <w:p w14:paraId="4EAF1167" w14:textId="77777777" w:rsidR="005932F4" w:rsidRDefault="005932F4" w:rsidP="005B6F95">
            <w:pPr>
              <w:pStyle w:val="NoSpacing"/>
            </w:pPr>
          </w:p>
          <w:p w14:paraId="2D3B737C" w14:textId="77777777" w:rsidR="005932F4" w:rsidRDefault="005932F4" w:rsidP="005B6F95">
            <w:pPr>
              <w:pStyle w:val="NoSpacing"/>
            </w:pPr>
          </w:p>
          <w:p w14:paraId="5CCA386F" w14:textId="77777777" w:rsidR="005932F4" w:rsidRDefault="005932F4" w:rsidP="005B6F95">
            <w:pPr>
              <w:pStyle w:val="NoSpacing"/>
            </w:pPr>
          </w:p>
          <w:p w14:paraId="54E3D2BD" w14:textId="77777777" w:rsidR="005932F4" w:rsidRDefault="005932F4" w:rsidP="005B6F95">
            <w:pPr>
              <w:pStyle w:val="NoSpacing"/>
            </w:pPr>
          </w:p>
        </w:tc>
      </w:tr>
      <w:tr w:rsidR="005932F4" w14:paraId="240739FD" w14:textId="77777777" w:rsidTr="00CB7E37">
        <w:tc>
          <w:tcPr>
            <w:tcW w:w="2605" w:type="dxa"/>
          </w:tcPr>
          <w:p w14:paraId="1E7547EE" w14:textId="77777777" w:rsidR="005932F4" w:rsidRDefault="005932F4" w:rsidP="005B6F95">
            <w:pPr>
              <w:pStyle w:val="NoSpacing"/>
            </w:pPr>
          </w:p>
          <w:p w14:paraId="14553C92" w14:textId="77777777" w:rsidR="005932F4" w:rsidRDefault="005932F4" w:rsidP="005B6F95">
            <w:pPr>
              <w:pStyle w:val="NoSpacing"/>
            </w:pPr>
          </w:p>
          <w:p w14:paraId="25016EFA" w14:textId="77777777" w:rsidR="005932F4" w:rsidRDefault="005932F4" w:rsidP="005B6F95">
            <w:pPr>
              <w:pStyle w:val="NoSpacing"/>
            </w:pPr>
          </w:p>
          <w:p w14:paraId="430B40AA" w14:textId="77777777" w:rsidR="005932F4" w:rsidRDefault="005932F4" w:rsidP="005B6F95">
            <w:pPr>
              <w:pStyle w:val="NoSpacing"/>
            </w:pPr>
          </w:p>
          <w:p w14:paraId="21BC9D6A" w14:textId="77777777" w:rsidR="005932F4" w:rsidRDefault="005932F4" w:rsidP="005B6F95">
            <w:pPr>
              <w:pStyle w:val="NoSpacing"/>
            </w:pPr>
          </w:p>
          <w:p w14:paraId="5BEFB550" w14:textId="77777777" w:rsidR="005932F4" w:rsidRDefault="005932F4" w:rsidP="005B6F95">
            <w:pPr>
              <w:pStyle w:val="NoSpacing"/>
            </w:pPr>
          </w:p>
          <w:p w14:paraId="160B94AF" w14:textId="77777777" w:rsidR="005932F4" w:rsidRDefault="005932F4" w:rsidP="005B6F95">
            <w:pPr>
              <w:pStyle w:val="NoSpacing"/>
            </w:pPr>
            <w:r>
              <w:t>Payee Bank details</w:t>
            </w:r>
          </w:p>
          <w:p w14:paraId="5553B026" w14:textId="77777777" w:rsidR="005932F4" w:rsidRDefault="005932F4" w:rsidP="005B6F95">
            <w:pPr>
              <w:pStyle w:val="NoSpacing"/>
            </w:pPr>
          </w:p>
          <w:p w14:paraId="069992F3" w14:textId="77777777" w:rsidR="005932F4" w:rsidRDefault="005932F4" w:rsidP="005B6F95">
            <w:pPr>
              <w:pStyle w:val="NoSpacing"/>
            </w:pPr>
          </w:p>
        </w:tc>
        <w:tc>
          <w:tcPr>
            <w:tcW w:w="6462" w:type="dxa"/>
          </w:tcPr>
          <w:p w14:paraId="4CA73264" w14:textId="77777777" w:rsidR="005932F4" w:rsidRDefault="005932F4" w:rsidP="005B6F95">
            <w:pPr>
              <w:pStyle w:val="NoSpacing"/>
            </w:pPr>
            <w:r>
              <w:t>Account name:</w:t>
            </w:r>
          </w:p>
          <w:p w14:paraId="4545166C" w14:textId="77777777" w:rsidR="005932F4" w:rsidRDefault="005932F4" w:rsidP="005B6F95">
            <w:pPr>
              <w:pStyle w:val="NoSpacing"/>
            </w:pPr>
          </w:p>
          <w:p w14:paraId="0679FCE3" w14:textId="77777777" w:rsidR="005932F4" w:rsidRDefault="005932F4" w:rsidP="005B6F95">
            <w:pPr>
              <w:pStyle w:val="NoSpacing"/>
            </w:pPr>
          </w:p>
          <w:p w14:paraId="10E7472A" w14:textId="77777777" w:rsidR="005932F4" w:rsidRDefault="005932F4" w:rsidP="005B6F95">
            <w:pPr>
              <w:pStyle w:val="NoSpacing"/>
            </w:pPr>
          </w:p>
          <w:p w14:paraId="13A1E0AA" w14:textId="77777777" w:rsidR="005932F4" w:rsidRDefault="005932F4" w:rsidP="005B6F95">
            <w:pPr>
              <w:pStyle w:val="NoSpacing"/>
            </w:pPr>
            <w:r>
              <w:t>Name of Bank:</w:t>
            </w:r>
          </w:p>
          <w:p w14:paraId="44349B65" w14:textId="77777777" w:rsidR="005932F4" w:rsidRDefault="005932F4" w:rsidP="005B6F95">
            <w:pPr>
              <w:pStyle w:val="NoSpacing"/>
            </w:pPr>
          </w:p>
          <w:p w14:paraId="313A5007" w14:textId="77777777" w:rsidR="005932F4" w:rsidRDefault="005932F4" w:rsidP="005B6F95">
            <w:pPr>
              <w:pStyle w:val="NoSpacing"/>
            </w:pPr>
          </w:p>
          <w:p w14:paraId="251CEA52" w14:textId="77777777" w:rsidR="005932F4" w:rsidRDefault="005932F4" w:rsidP="005B6F95">
            <w:pPr>
              <w:pStyle w:val="NoSpacing"/>
            </w:pPr>
          </w:p>
          <w:p w14:paraId="61561418" w14:textId="77777777" w:rsidR="005932F4" w:rsidRDefault="005932F4" w:rsidP="005B6F95">
            <w:pPr>
              <w:pStyle w:val="NoSpacing"/>
            </w:pPr>
            <w:r>
              <w:t>Sort code:</w:t>
            </w:r>
          </w:p>
          <w:p w14:paraId="3E4DC16C" w14:textId="77777777" w:rsidR="005932F4" w:rsidRDefault="005932F4" w:rsidP="005B6F95">
            <w:pPr>
              <w:pStyle w:val="NoSpacing"/>
            </w:pPr>
          </w:p>
          <w:p w14:paraId="48022ADE" w14:textId="77777777" w:rsidR="005932F4" w:rsidRDefault="005932F4" w:rsidP="005B6F95">
            <w:pPr>
              <w:pStyle w:val="NoSpacing"/>
            </w:pPr>
          </w:p>
          <w:p w14:paraId="1633704D" w14:textId="77777777" w:rsidR="005932F4" w:rsidRDefault="005932F4" w:rsidP="005B6F95">
            <w:pPr>
              <w:pStyle w:val="NoSpacing"/>
            </w:pPr>
            <w:r>
              <w:t>Account number:</w:t>
            </w:r>
          </w:p>
          <w:p w14:paraId="4E67F1CB" w14:textId="77777777" w:rsidR="005932F4" w:rsidRDefault="005932F4" w:rsidP="005B6F95">
            <w:pPr>
              <w:pStyle w:val="NoSpacing"/>
            </w:pPr>
          </w:p>
          <w:p w14:paraId="04B3DEF4" w14:textId="77777777" w:rsidR="005932F4" w:rsidRDefault="005932F4" w:rsidP="005B6F95">
            <w:pPr>
              <w:pStyle w:val="NoSpacing"/>
            </w:pPr>
          </w:p>
          <w:p w14:paraId="037CE0D4" w14:textId="77777777" w:rsidR="005932F4" w:rsidRDefault="005932F4" w:rsidP="005B6F95">
            <w:pPr>
              <w:pStyle w:val="NoSpacing"/>
            </w:pPr>
          </w:p>
          <w:p w14:paraId="68C9E29B" w14:textId="77777777" w:rsidR="005932F4" w:rsidRDefault="005932F4" w:rsidP="005B6F95">
            <w:pPr>
              <w:pStyle w:val="NoSpacing"/>
            </w:pPr>
          </w:p>
        </w:tc>
      </w:tr>
      <w:tr w:rsidR="005932F4" w14:paraId="6CC73205" w14:textId="77777777" w:rsidTr="00CB7E37">
        <w:tc>
          <w:tcPr>
            <w:tcW w:w="2605" w:type="dxa"/>
          </w:tcPr>
          <w:p w14:paraId="4448650B" w14:textId="77777777" w:rsidR="005932F4" w:rsidRDefault="005932F4" w:rsidP="005B6F95">
            <w:pPr>
              <w:pStyle w:val="NoSpacing"/>
            </w:pPr>
            <w:r>
              <w:t>Signature:</w:t>
            </w:r>
          </w:p>
          <w:p w14:paraId="28593170" w14:textId="77777777" w:rsidR="005932F4" w:rsidRDefault="005932F4" w:rsidP="005B6F95">
            <w:pPr>
              <w:pStyle w:val="NoSpacing"/>
            </w:pPr>
          </w:p>
        </w:tc>
        <w:tc>
          <w:tcPr>
            <w:tcW w:w="6462" w:type="dxa"/>
          </w:tcPr>
          <w:p w14:paraId="00CA5262" w14:textId="77777777" w:rsidR="005932F4" w:rsidRDefault="005932F4" w:rsidP="005B6F95">
            <w:pPr>
              <w:pStyle w:val="NoSpacing"/>
            </w:pPr>
          </w:p>
        </w:tc>
      </w:tr>
      <w:tr w:rsidR="005932F4" w14:paraId="2A66618B" w14:textId="77777777" w:rsidTr="00CB7E37">
        <w:tc>
          <w:tcPr>
            <w:tcW w:w="2605" w:type="dxa"/>
          </w:tcPr>
          <w:p w14:paraId="30D6E168" w14:textId="77777777" w:rsidR="005932F4" w:rsidRDefault="005932F4" w:rsidP="005B6F95">
            <w:pPr>
              <w:pStyle w:val="NoSpacing"/>
            </w:pPr>
            <w:r>
              <w:t>Print name:</w:t>
            </w:r>
          </w:p>
          <w:p w14:paraId="3E920DE6" w14:textId="77777777" w:rsidR="005932F4" w:rsidRDefault="005932F4" w:rsidP="005B6F95">
            <w:pPr>
              <w:pStyle w:val="NoSpacing"/>
            </w:pPr>
          </w:p>
        </w:tc>
        <w:tc>
          <w:tcPr>
            <w:tcW w:w="6462" w:type="dxa"/>
          </w:tcPr>
          <w:p w14:paraId="042C1676" w14:textId="77777777" w:rsidR="005932F4" w:rsidRDefault="005932F4" w:rsidP="005B6F95">
            <w:pPr>
              <w:pStyle w:val="NoSpacing"/>
            </w:pPr>
          </w:p>
        </w:tc>
      </w:tr>
      <w:tr w:rsidR="005932F4" w14:paraId="4FB9D472" w14:textId="77777777" w:rsidTr="00CB7E37">
        <w:tc>
          <w:tcPr>
            <w:tcW w:w="2605" w:type="dxa"/>
          </w:tcPr>
          <w:p w14:paraId="34B8DF93" w14:textId="77777777" w:rsidR="005932F4" w:rsidRDefault="005932F4" w:rsidP="005B6F95">
            <w:pPr>
              <w:pStyle w:val="NoSpacing"/>
            </w:pPr>
            <w:r>
              <w:t>Date:</w:t>
            </w:r>
          </w:p>
          <w:p w14:paraId="3365C838" w14:textId="77777777" w:rsidR="005932F4" w:rsidRDefault="005932F4" w:rsidP="005B6F95">
            <w:pPr>
              <w:pStyle w:val="NoSpacing"/>
            </w:pPr>
          </w:p>
        </w:tc>
        <w:tc>
          <w:tcPr>
            <w:tcW w:w="6462" w:type="dxa"/>
          </w:tcPr>
          <w:p w14:paraId="62BEE090" w14:textId="77777777" w:rsidR="005932F4" w:rsidRDefault="005932F4" w:rsidP="005B6F95">
            <w:pPr>
              <w:pStyle w:val="NoSpacing"/>
            </w:pPr>
          </w:p>
        </w:tc>
      </w:tr>
      <w:bookmarkEnd w:id="0"/>
    </w:tbl>
    <w:p w14:paraId="7D3F6A7E" w14:textId="3942DDB7" w:rsidR="00090C46" w:rsidRDefault="00090C46"/>
    <w:tbl>
      <w:tblPr>
        <w:tblStyle w:val="TableGrid"/>
        <w:tblW w:w="10206" w:type="dxa"/>
        <w:tblInd w:w="-572" w:type="dxa"/>
        <w:tblLook w:val="04A0" w:firstRow="1" w:lastRow="0" w:firstColumn="1" w:lastColumn="0" w:noHBand="0" w:noVBand="1"/>
      </w:tblPr>
      <w:tblGrid>
        <w:gridCol w:w="10206"/>
      </w:tblGrid>
      <w:tr w:rsidR="0058390C" w14:paraId="31C8FD0B" w14:textId="77777777" w:rsidTr="2090584F">
        <w:tc>
          <w:tcPr>
            <w:tcW w:w="10206" w:type="dxa"/>
            <w:shd w:val="clear" w:color="auto" w:fill="4472C4" w:themeFill="accent1"/>
          </w:tcPr>
          <w:p w14:paraId="4DAAF014" w14:textId="3C14F10B" w:rsidR="0058390C" w:rsidRPr="00C512B2" w:rsidRDefault="0058390C" w:rsidP="005B6F95">
            <w:pPr>
              <w:rPr>
                <w:b/>
                <w:bCs/>
                <w:color w:val="FFFFFF" w:themeColor="background1"/>
                <w:sz w:val="24"/>
                <w:szCs w:val="24"/>
              </w:rPr>
            </w:pPr>
            <w:r w:rsidRPr="00C512B2">
              <w:rPr>
                <w:b/>
                <w:bCs/>
                <w:color w:val="FFFFFF" w:themeColor="background1"/>
                <w:sz w:val="24"/>
                <w:szCs w:val="24"/>
              </w:rPr>
              <w:t>APPENDIX 3:</w:t>
            </w:r>
          </w:p>
        </w:tc>
      </w:tr>
      <w:tr w:rsidR="00334E14" w14:paraId="1C5E551C" w14:textId="77777777" w:rsidTr="2090584F">
        <w:tc>
          <w:tcPr>
            <w:tcW w:w="10206" w:type="dxa"/>
            <w:shd w:val="clear" w:color="auto" w:fill="4472C4" w:themeFill="accent1"/>
          </w:tcPr>
          <w:p w14:paraId="1FC67AB6" w14:textId="657A8ECC" w:rsidR="00334E14" w:rsidRPr="00C512B2" w:rsidRDefault="00334E14" w:rsidP="005B6F95">
            <w:pPr>
              <w:rPr>
                <w:color w:val="FFFFFF" w:themeColor="background1"/>
                <w:sz w:val="24"/>
                <w:szCs w:val="24"/>
              </w:rPr>
            </w:pPr>
            <w:r w:rsidRPr="00C512B2">
              <w:rPr>
                <w:color w:val="FFFFFF" w:themeColor="background1"/>
                <w:sz w:val="24"/>
                <w:szCs w:val="24"/>
              </w:rPr>
              <w:t xml:space="preserve">Protocol: Carbon Monoxide (CO) Monitoring. </w:t>
            </w:r>
          </w:p>
        </w:tc>
      </w:tr>
      <w:tr w:rsidR="00334E14" w14:paraId="1E8107A4" w14:textId="77777777" w:rsidTr="2090584F">
        <w:tc>
          <w:tcPr>
            <w:tcW w:w="10206" w:type="dxa"/>
            <w:shd w:val="clear" w:color="auto" w:fill="4472C4" w:themeFill="accent1"/>
          </w:tcPr>
          <w:p w14:paraId="27C7291D" w14:textId="2373381D" w:rsidR="00334E14" w:rsidRPr="007569AD" w:rsidRDefault="00C74E61" w:rsidP="005B6F95">
            <w:pPr>
              <w:rPr>
                <w:color w:val="FFFFFF" w:themeColor="background1"/>
              </w:rPr>
            </w:pPr>
            <w:r w:rsidRPr="007569AD">
              <w:rPr>
                <w:color w:val="FFFFFF" w:themeColor="background1"/>
              </w:rPr>
              <w:t xml:space="preserve">Reviewed and updated </w:t>
            </w:r>
            <w:r w:rsidR="001A580D" w:rsidRPr="007569AD">
              <w:rPr>
                <w:color w:val="FFFFFF" w:themeColor="background1"/>
              </w:rPr>
              <w:t>23/01/2026</w:t>
            </w:r>
          </w:p>
        </w:tc>
      </w:tr>
      <w:tr w:rsidR="00334E14" w14:paraId="724EEA35" w14:textId="77777777" w:rsidTr="2090584F">
        <w:tc>
          <w:tcPr>
            <w:tcW w:w="10206" w:type="dxa"/>
            <w:shd w:val="clear" w:color="auto" w:fill="4472C4" w:themeFill="accent1"/>
          </w:tcPr>
          <w:p w14:paraId="570EEAB4" w14:textId="587B81C2" w:rsidR="00334E14" w:rsidRPr="007569AD" w:rsidRDefault="00334E14" w:rsidP="005B6F95">
            <w:pPr>
              <w:rPr>
                <w:color w:val="FFFFFF" w:themeColor="background1"/>
              </w:rPr>
            </w:pPr>
            <w:r w:rsidRPr="007569AD">
              <w:rPr>
                <w:color w:val="FFFFFF" w:themeColor="background1"/>
              </w:rPr>
              <w:t xml:space="preserve">Version: </w:t>
            </w:r>
            <w:r w:rsidR="00C74E61" w:rsidRPr="007569AD">
              <w:rPr>
                <w:color w:val="FFFFFF" w:themeColor="background1"/>
              </w:rPr>
              <w:t>4.</w:t>
            </w:r>
            <w:r w:rsidR="000B7F37" w:rsidRPr="007569AD">
              <w:rPr>
                <w:color w:val="FFFFFF" w:themeColor="background1"/>
              </w:rPr>
              <w:t>5</w:t>
            </w:r>
          </w:p>
        </w:tc>
      </w:tr>
      <w:tr w:rsidR="00334E14" w14:paraId="242F58BC" w14:textId="77777777" w:rsidTr="2090584F">
        <w:tc>
          <w:tcPr>
            <w:tcW w:w="10206" w:type="dxa"/>
            <w:shd w:val="clear" w:color="auto" w:fill="4472C4" w:themeFill="accent1"/>
          </w:tcPr>
          <w:p w14:paraId="587BE5E5" w14:textId="33037478" w:rsidR="00334E14" w:rsidRPr="007569AD" w:rsidRDefault="00334E14" w:rsidP="005B6F95">
            <w:pPr>
              <w:rPr>
                <w:color w:val="FFFFFF" w:themeColor="background1"/>
              </w:rPr>
            </w:pPr>
            <w:r w:rsidRPr="007569AD">
              <w:rPr>
                <w:color w:val="FFFFFF" w:themeColor="background1"/>
              </w:rPr>
              <w:t>Author: Elizabeth Woodwort</w:t>
            </w:r>
            <w:r w:rsidR="000B7F37" w:rsidRPr="007569AD">
              <w:rPr>
                <w:color w:val="FFFFFF" w:themeColor="background1"/>
              </w:rPr>
              <w:t xml:space="preserve">h reviewed and amended by Heidi Johnson </w:t>
            </w:r>
          </w:p>
        </w:tc>
      </w:tr>
      <w:tr w:rsidR="00334E14" w14:paraId="13D383F8" w14:textId="77777777" w:rsidTr="2090584F">
        <w:tc>
          <w:tcPr>
            <w:tcW w:w="10206" w:type="dxa"/>
            <w:shd w:val="clear" w:color="auto" w:fill="4472C4" w:themeFill="accent1"/>
          </w:tcPr>
          <w:p w14:paraId="476BF645" w14:textId="77777777" w:rsidR="00334E14" w:rsidRPr="007569AD" w:rsidRDefault="00334E14" w:rsidP="005B6F95">
            <w:pPr>
              <w:rPr>
                <w:color w:val="FFFFFF" w:themeColor="background1"/>
              </w:rPr>
            </w:pPr>
            <w:r w:rsidRPr="007569AD">
              <w:rPr>
                <w:color w:val="FFFFFF" w:themeColor="background1"/>
              </w:rPr>
              <w:t>Purpose: To ensure correct procedures are followed to comply with NCSCT monitor and guidance, including infection control.</w:t>
            </w:r>
          </w:p>
        </w:tc>
      </w:tr>
      <w:tr w:rsidR="00334E14" w14:paraId="54877972" w14:textId="77777777" w:rsidTr="2090584F">
        <w:tc>
          <w:tcPr>
            <w:tcW w:w="10206" w:type="dxa"/>
          </w:tcPr>
          <w:p w14:paraId="347A7ED6" w14:textId="77777777" w:rsidR="00334E14" w:rsidRDefault="00334E14" w:rsidP="005B6F95"/>
          <w:p w14:paraId="5A60A4FE" w14:textId="77777777" w:rsidR="00334E14" w:rsidRDefault="00334E14" w:rsidP="005B6F95">
            <w:r>
              <w:t xml:space="preserve">To ensure robust service delivery and data quality. </w:t>
            </w:r>
          </w:p>
          <w:p w14:paraId="48A68887" w14:textId="77777777" w:rsidR="00334E14" w:rsidRDefault="00334E14" w:rsidP="005B6F95">
            <w:r>
              <w:t>To ensure correct use of CO monitors and comply with infection control.</w:t>
            </w:r>
          </w:p>
          <w:p w14:paraId="37D07E3B" w14:textId="77777777" w:rsidR="00334E14" w:rsidRDefault="00334E14" w:rsidP="005B6F95"/>
        </w:tc>
      </w:tr>
      <w:tr w:rsidR="00334E14" w14:paraId="1073DFAB" w14:textId="77777777" w:rsidTr="2090584F">
        <w:tc>
          <w:tcPr>
            <w:tcW w:w="10206" w:type="dxa"/>
            <w:shd w:val="clear" w:color="auto" w:fill="2F5496" w:themeFill="accent1" w:themeFillShade="BF"/>
          </w:tcPr>
          <w:p w14:paraId="6C4AE659" w14:textId="77777777" w:rsidR="00334E14" w:rsidRDefault="00334E14" w:rsidP="005B6F95">
            <w:r w:rsidRPr="007569AD">
              <w:rPr>
                <w:color w:val="FFFFFF" w:themeColor="background1"/>
              </w:rPr>
              <w:t>Background</w:t>
            </w:r>
          </w:p>
        </w:tc>
      </w:tr>
      <w:tr w:rsidR="00334E14" w14:paraId="05C472F5" w14:textId="77777777" w:rsidTr="2090584F">
        <w:tc>
          <w:tcPr>
            <w:tcW w:w="10206" w:type="dxa"/>
          </w:tcPr>
          <w:p w14:paraId="485855FF" w14:textId="77777777" w:rsidR="00334E14" w:rsidRDefault="00334E14" w:rsidP="005B6F95"/>
          <w:p w14:paraId="7FE7FE49" w14:textId="18B9B075" w:rsidR="00334E14" w:rsidRDefault="00334E14" w:rsidP="005B6F95">
            <w:r>
              <w:t>Carbon Monoxide (CO) is a toxic gas which is inhaled by smokers from cigarettes. It binds to carboxyhaemoglobin (</w:t>
            </w:r>
            <w:proofErr w:type="spellStart"/>
            <w:r>
              <w:t>COhb</w:t>
            </w:r>
            <w:proofErr w:type="spellEnd"/>
            <w:r>
              <w:t xml:space="preserve">) leading to arterial walls becoming more permeable, increasing the formation of plaque. In pregnancy, CO inhibits the release of oxygen into foetal tissue. Due to its` short half-life the elimination of CO from the body becomes slower as smoking </w:t>
            </w:r>
            <w:r w:rsidR="00FF6A4F">
              <w:t>decreases and</w:t>
            </w:r>
            <w:r>
              <w:t xml:space="preserve"> is usually undetectable after 24 hours after the last cigarette is smoked.</w:t>
            </w:r>
          </w:p>
          <w:p w14:paraId="021330E2" w14:textId="77777777" w:rsidR="00334E14" w:rsidRDefault="00334E14" w:rsidP="005B6F95"/>
          <w:p w14:paraId="3546F30B" w14:textId="77777777" w:rsidR="00334E14" w:rsidRDefault="00334E14" w:rsidP="005B6F95">
            <w:r>
              <w:t>CO monitoring is an evidenced based, non-invasive, cost effective, highly motivating tool for smokers trying to quit. The test provides a digital result, parts per million, (ppm). It is also an alternative measure of success in a harm reduction approach where clients are cutting down the number cigarettes prior to quitting or temporary abstinence.</w:t>
            </w:r>
          </w:p>
          <w:p w14:paraId="7DE6B587" w14:textId="77777777" w:rsidR="00334E14" w:rsidRDefault="00334E14" w:rsidP="005B6F95"/>
          <w:p w14:paraId="16CEE64B" w14:textId="7BC263E4" w:rsidR="00334E14" w:rsidRDefault="00334E14" w:rsidP="005B6F95">
            <w:r>
              <w:t xml:space="preserve">Heavy smoking or mode of smoking, for example, Shisha / Water pipes, or alternative products such as Cannabis, can result in higher levels of CO.  Lactose intolerance can also result in raised expired CO levels. Abnormally high expired CO levels (70 + ppm) could also be due to the exposure of faulty gas appliances. In these circumstances the client should be given advice about CO poisoning, if </w:t>
            </w:r>
            <w:r w:rsidR="00FF6A4F">
              <w:t>necessary,</w:t>
            </w:r>
            <w:r>
              <w:t xml:space="preserve"> advised </w:t>
            </w:r>
            <w:proofErr w:type="gramStart"/>
            <w:r>
              <w:t>to attend</w:t>
            </w:r>
            <w:proofErr w:type="gramEnd"/>
            <w:r>
              <w:t xml:space="preserve"> Accident and Emergency and encouraged to contact the Health and Safety Executive, tel. 0800 300 363.</w:t>
            </w:r>
          </w:p>
          <w:p w14:paraId="1A65949A" w14:textId="77777777" w:rsidR="00334E14" w:rsidRDefault="00334E14" w:rsidP="005B6F95"/>
          <w:p w14:paraId="4602AB1E" w14:textId="1D037FDF" w:rsidR="00334E14" w:rsidRDefault="00334E14" w:rsidP="005B6F95">
            <w:r>
              <w:t xml:space="preserve">The effects of chronic exposure to CO include headache, </w:t>
            </w:r>
            <w:r w:rsidR="00FF6A4F">
              <w:t>fatigue,</w:t>
            </w:r>
            <w:r>
              <w:t xml:space="preserve"> and poor concentration.</w:t>
            </w:r>
          </w:p>
          <w:p w14:paraId="6F6B6933" w14:textId="77777777" w:rsidR="00334E14" w:rsidRDefault="00334E14" w:rsidP="005B6F95"/>
          <w:p w14:paraId="06AFB86D" w14:textId="270E72F3" w:rsidR="00334E14" w:rsidRDefault="00334E14" w:rsidP="005B6F95">
            <w:r>
              <w:t xml:space="preserve">CO verification rates are an essential marker of data quality as self-reporting can be </w:t>
            </w:r>
            <w:r w:rsidR="00C74E61">
              <w:t>unreliable;</w:t>
            </w:r>
            <w:r>
              <w:t xml:space="preserve"> </w:t>
            </w:r>
            <w:r w:rsidR="00F35624">
              <w:t>therefore,</w:t>
            </w:r>
            <w:r>
              <w:t xml:space="preserve"> CO verification rates are one of the most important markers of data quality. 85% of </w:t>
            </w:r>
            <w:r w:rsidR="00C74E61">
              <w:t>4-week</w:t>
            </w:r>
            <w:r>
              <w:t xml:space="preserve"> quitters must be CO validated.</w:t>
            </w:r>
          </w:p>
          <w:p w14:paraId="1E42DA7B" w14:textId="77777777" w:rsidR="00334E14" w:rsidRDefault="00334E14" w:rsidP="005B6F95"/>
        </w:tc>
      </w:tr>
      <w:tr w:rsidR="00334E14" w14:paraId="71BFE720" w14:textId="77777777" w:rsidTr="2090584F">
        <w:tc>
          <w:tcPr>
            <w:tcW w:w="10206" w:type="dxa"/>
            <w:shd w:val="clear" w:color="auto" w:fill="2F5496" w:themeFill="accent1" w:themeFillShade="BF"/>
          </w:tcPr>
          <w:p w14:paraId="5C7AE569" w14:textId="77777777" w:rsidR="00334E14" w:rsidRPr="00CB7E37" w:rsidRDefault="00334E14" w:rsidP="005B6F95">
            <w:pPr>
              <w:rPr>
                <w:color w:val="FFFFFF" w:themeColor="background1"/>
              </w:rPr>
            </w:pPr>
            <w:r w:rsidRPr="00CB7E37">
              <w:rPr>
                <w:color w:val="FFFFFF" w:themeColor="background1"/>
              </w:rPr>
              <w:t>CO testing</w:t>
            </w:r>
          </w:p>
        </w:tc>
      </w:tr>
      <w:tr w:rsidR="00334E14" w14:paraId="128D107D" w14:textId="77777777" w:rsidTr="2090584F">
        <w:tc>
          <w:tcPr>
            <w:tcW w:w="10206" w:type="dxa"/>
          </w:tcPr>
          <w:p w14:paraId="6A12ABBC" w14:textId="77777777" w:rsidR="00334E14" w:rsidRDefault="00334E14" w:rsidP="005B6F95"/>
          <w:p w14:paraId="695347E7" w14:textId="77777777" w:rsidR="00334E14" w:rsidRDefault="00334E14" w:rsidP="005B6F95">
            <w:r>
              <w:t>CO testing should be carried out on all smokers to provide a marker of smoking status at every consultation.</w:t>
            </w:r>
          </w:p>
          <w:p w14:paraId="3AFA4561" w14:textId="77777777" w:rsidR="00334E14" w:rsidRDefault="00334E14" w:rsidP="005B6F95"/>
          <w:p w14:paraId="7D931A4B" w14:textId="2CF8857A" w:rsidR="00C74E61" w:rsidRDefault="00334E14" w:rsidP="005B6F95">
            <w:r>
              <w:t>Clients should be asked to hold their breath for 15 seconds (10 seconds minimum) before blowing into the monitor.  Clients with physical inability to hold their breath for 15 seconds, for example those with COPD, may need to practice holding their breath, to enable them to complete the test. In certain circumstances this will not be possible.</w:t>
            </w:r>
          </w:p>
          <w:p w14:paraId="13FAAB5F" w14:textId="77777777" w:rsidR="00334E14" w:rsidRDefault="00334E14" w:rsidP="005B6F95"/>
        </w:tc>
      </w:tr>
      <w:tr w:rsidR="00334E14" w14:paraId="47E96055" w14:textId="77777777" w:rsidTr="2090584F">
        <w:tc>
          <w:tcPr>
            <w:tcW w:w="10206" w:type="dxa"/>
            <w:shd w:val="clear" w:color="auto" w:fill="2F5496" w:themeFill="accent1" w:themeFillShade="BF"/>
          </w:tcPr>
          <w:p w14:paraId="48BE4EFF" w14:textId="77777777" w:rsidR="00334E14" w:rsidRPr="00CB7E37" w:rsidRDefault="00334E14" w:rsidP="005B6F95">
            <w:pPr>
              <w:rPr>
                <w:color w:val="FFFFFF" w:themeColor="background1"/>
              </w:rPr>
            </w:pPr>
            <w:r w:rsidRPr="00CB7E37">
              <w:rPr>
                <w:color w:val="FFFFFF" w:themeColor="background1"/>
              </w:rPr>
              <w:lastRenderedPageBreak/>
              <w:t>Infection control</w:t>
            </w:r>
          </w:p>
        </w:tc>
      </w:tr>
      <w:tr w:rsidR="00334E14" w14:paraId="5BBBD2C5" w14:textId="77777777" w:rsidTr="2090584F">
        <w:tc>
          <w:tcPr>
            <w:tcW w:w="10206" w:type="dxa"/>
          </w:tcPr>
          <w:p w14:paraId="15F4D10F" w14:textId="77777777" w:rsidR="00C74E61" w:rsidRDefault="00C74E61" w:rsidP="00C74E61">
            <w:r>
              <w:t xml:space="preserve">Hand gel containing alcohol </w:t>
            </w:r>
            <w:r w:rsidRPr="00F96DB3">
              <w:rPr>
                <w:color w:val="FF0000"/>
              </w:rPr>
              <w:t xml:space="preserve">70% </w:t>
            </w:r>
            <w:r>
              <w:t>or above must NOT be used as this will affect the monitor.</w:t>
            </w:r>
          </w:p>
          <w:p w14:paraId="6C04E398" w14:textId="77777777" w:rsidR="00C74E61" w:rsidRDefault="00C74E61" w:rsidP="00C74E61">
            <w:r>
              <w:t>Infection Control Guidance provided by Bedfont recommends that monitors are wiped down with non-alcoholic anti-bacterial wipes after each use.</w:t>
            </w:r>
          </w:p>
          <w:p w14:paraId="129C3270" w14:textId="77777777" w:rsidR="00C74E61" w:rsidRDefault="00C74E61" w:rsidP="00C74E61">
            <w:hyperlink r:id="rId18" w:history="1">
              <w:r w:rsidRPr="00A633B7">
                <w:rPr>
                  <w:rStyle w:val="Hyperlink"/>
                </w:rPr>
                <w:t>https://support.bedfont.com/en/knowledge/smokerlyzer-infection-control-and-maintenance-guidelines</w:t>
              </w:r>
            </w:hyperlink>
          </w:p>
          <w:p w14:paraId="0D479BAD" w14:textId="77777777" w:rsidR="00C74E61" w:rsidRDefault="00C74E61" w:rsidP="00C74E61"/>
          <w:p w14:paraId="0F2BFD0A" w14:textId="77777777" w:rsidR="00C74E61" w:rsidRDefault="00C74E61" w:rsidP="00C74E61">
            <w:pPr>
              <w:rPr>
                <w:color w:val="FF0000"/>
              </w:rPr>
            </w:pPr>
            <w:r>
              <w:t xml:space="preserve">Cardboard tubes or straws are single use only and must be changed for every client. The client must be asked to insert and remove the tube or straw from the monitor. They must be discarded into a waste bag and disposed of safely. </w:t>
            </w:r>
            <w:r w:rsidRPr="00876223">
              <w:t>In circumstances where there is a possibility of higher infection risk the waste shoul</w:t>
            </w:r>
            <w:r>
              <w:t>d be double bagged and the bag disposed safely using a clinic yellow waste bag.</w:t>
            </w:r>
          </w:p>
          <w:p w14:paraId="25971D29" w14:textId="77777777" w:rsidR="00C74E61" w:rsidRDefault="00C74E61" w:rsidP="00C74E61"/>
          <w:p w14:paraId="31466E09" w14:textId="77777777" w:rsidR="00C74E61" w:rsidRDefault="00C74E61" w:rsidP="00C74E61">
            <w:r>
              <w:t xml:space="preserve">An adapter (D – piece) must be used which has a one- way valve that prevents inhalation from the monitor. Changing adapters must comply with the manufacturers` guidelines. </w:t>
            </w:r>
          </w:p>
          <w:p w14:paraId="75F81553" w14:textId="77777777" w:rsidR="00C74E61" w:rsidRPr="00876223" w:rsidRDefault="00C74E61" w:rsidP="00C74E61"/>
          <w:p w14:paraId="49570AFC" w14:textId="77777777" w:rsidR="00C74E61" w:rsidRDefault="00C74E61" w:rsidP="00C74E61">
            <w:r>
              <w:t xml:space="preserve">The necessary frequency of changing D pieces </w:t>
            </w:r>
            <w:proofErr w:type="gramStart"/>
            <w:r>
              <w:t>are</w:t>
            </w:r>
            <w:proofErr w:type="gramEnd"/>
            <w:r>
              <w:t xml:space="preserve"> as follows: - Usage guidance.</w:t>
            </w:r>
          </w:p>
          <w:p w14:paraId="2B4D4CE0" w14:textId="77777777" w:rsidR="00C74E61" w:rsidRPr="00EC5868" w:rsidRDefault="00C74E61" w:rsidP="00C74E61"/>
          <w:p w14:paraId="4F8AF35B" w14:textId="77777777" w:rsidR="00C74E61" w:rsidRDefault="00C74E61" w:rsidP="00C74E61">
            <w:r>
              <w:t xml:space="preserve">            </w:t>
            </w:r>
            <w:r w:rsidRPr="00CB7E37">
              <w:rPr>
                <w:highlight w:val="yellow"/>
              </w:rPr>
              <w:t>Bedfont – the D pieces must be replaced monthly.</w:t>
            </w:r>
          </w:p>
          <w:p w14:paraId="20A6DCED" w14:textId="77777777" w:rsidR="00C74E61" w:rsidRDefault="00C74E61" w:rsidP="00C74E61"/>
          <w:p w14:paraId="3C763508" w14:textId="3FDE9F15" w:rsidR="00C74E61" w:rsidRDefault="30FDFB5B" w:rsidP="00C74E61">
            <w:r>
              <w:t xml:space="preserve">Storage temperature for the </w:t>
            </w:r>
            <w:proofErr w:type="gramStart"/>
            <w:r>
              <w:t>monitors  0</w:t>
            </w:r>
            <w:proofErr w:type="gramEnd"/>
            <w:r w:rsidR="6347D8D3">
              <w:t xml:space="preserve"> </w:t>
            </w:r>
            <w:r>
              <w:t>-50</w:t>
            </w:r>
            <w:r w:rsidRPr="2090584F">
              <w:rPr>
                <w:sz w:val="16"/>
                <w:szCs w:val="16"/>
              </w:rPr>
              <w:t xml:space="preserve">o </w:t>
            </w:r>
            <w:r>
              <w:t>C</w:t>
            </w:r>
          </w:p>
          <w:p w14:paraId="1DDD51F2" w14:textId="77777777" w:rsidR="00C74E61" w:rsidRPr="001747D8" w:rsidRDefault="00C74E61" w:rsidP="00C74E61">
            <w:r>
              <w:t>Operating temperature 15 – 40</w:t>
            </w:r>
            <w:r w:rsidRPr="4E941EEB">
              <w:rPr>
                <w:sz w:val="16"/>
                <w:szCs w:val="16"/>
              </w:rPr>
              <w:t xml:space="preserve">o </w:t>
            </w:r>
            <w:r>
              <w:t>C</w:t>
            </w:r>
          </w:p>
          <w:p w14:paraId="4E9D62D1" w14:textId="77777777" w:rsidR="00C74E61" w:rsidRDefault="00C74E61" w:rsidP="00C74E61"/>
          <w:p w14:paraId="06E4C4B8" w14:textId="77777777" w:rsidR="00C74E61" w:rsidRDefault="00C74E61" w:rsidP="00C74E61">
            <w:r>
              <w:t>Monitors must not be left in vehicles overnight or for long periods. This may affect the accuracy.</w:t>
            </w:r>
          </w:p>
          <w:p w14:paraId="115B83B0" w14:textId="77777777" w:rsidR="00C74E61" w:rsidRDefault="00C74E61" w:rsidP="00C74E61"/>
          <w:p w14:paraId="7ED7BD4B" w14:textId="77777777" w:rsidR="00C74E61" w:rsidRDefault="00C74E61" w:rsidP="00C74E61">
            <w:r>
              <w:t>CO monitors used by ABL do not require calibration. However, if there are any issues where there may be discrepancy with correct recordings the monitor must be returned to the manufacturer according to their instructions. Any repair must be dated and electronically recorded.</w:t>
            </w:r>
          </w:p>
          <w:p w14:paraId="3585D597" w14:textId="77777777" w:rsidR="00C74E61" w:rsidRDefault="00C74E61" w:rsidP="00C74E61"/>
          <w:p w14:paraId="6A5FD8B2" w14:textId="0904906D" w:rsidR="00C74E61" w:rsidRPr="00524812" w:rsidRDefault="00C74E61" w:rsidP="00C74E61">
            <w:pPr>
              <w:rPr>
                <w:b/>
                <w:bCs/>
              </w:rPr>
            </w:pPr>
            <w:r w:rsidRPr="00C74E61">
              <w:rPr>
                <w:b/>
                <w:bCs/>
              </w:rPr>
              <w:t xml:space="preserve">Monitors must be cleaned after every client with a </w:t>
            </w:r>
            <w:proofErr w:type="spellStart"/>
            <w:r w:rsidRPr="00C74E61">
              <w:rPr>
                <w:b/>
                <w:bCs/>
              </w:rPr>
              <w:t>Clinelle</w:t>
            </w:r>
            <w:proofErr w:type="spellEnd"/>
            <w:r w:rsidRPr="00C74E61">
              <w:rPr>
                <w:b/>
                <w:bCs/>
              </w:rPr>
              <w:t xml:space="preserve"> wipe. </w:t>
            </w:r>
          </w:p>
          <w:p w14:paraId="5688DE0F" w14:textId="77777777" w:rsidR="00334E14" w:rsidRDefault="00334E14" w:rsidP="00C74E61"/>
        </w:tc>
      </w:tr>
    </w:tbl>
    <w:p w14:paraId="17734DBC" w14:textId="3D79E24A" w:rsidR="000A66FB" w:rsidRDefault="000A66FB"/>
    <w:p w14:paraId="07EB052E" w14:textId="5E327673" w:rsidR="000A66FB" w:rsidRDefault="000A66FB"/>
    <w:p w14:paraId="50F6F138" w14:textId="2C90CA36" w:rsidR="000A66FB" w:rsidRDefault="000A66FB"/>
    <w:p w14:paraId="49AA3D6D" w14:textId="23036733" w:rsidR="000A66FB" w:rsidRDefault="000A66FB"/>
    <w:p w14:paraId="549AD8E2" w14:textId="77777777" w:rsidR="000A66FB" w:rsidRDefault="000A66FB"/>
    <w:sectPr w:rsidR="000A66FB" w:rsidSect="007569AD">
      <w:headerReference w:type="default" r:id="rId19"/>
      <w:footerReference w:type="default" r:id="rId20"/>
      <w:pgSz w:w="12240" w:h="15840"/>
      <w:pgMar w:top="1440" w:right="1440" w:bottom="1440" w:left="1440" w:header="73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F0E1" w14:textId="77777777" w:rsidR="009C22EE" w:rsidRDefault="009C22EE" w:rsidP="00816627">
      <w:pPr>
        <w:spacing w:after="0" w:line="240" w:lineRule="auto"/>
      </w:pPr>
      <w:r>
        <w:separator/>
      </w:r>
    </w:p>
  </w:endnote>
  <w:endnote w:type="continuationSeparator" w:id="0">
    <w:p w14:paraId="3958AB8E" w14:textId="77777777" w:rsidR="009C22EE" w:rsidRDefault="009C22EE" w:rsidP="0081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717049"/>
      <w:docPartObj>
        <w:docPartGallery w:val="Page Numbers (Bottom of Page)"/>
        <w:docPartUnique/>
      </w:docPartObj>
    </w:sdtPr>
    <w:sdtEndPr>
      <w:rPr>
        <w:noProof/>
      </w:rPr>
    </w:sdtEndPr>
    <w:sdtContent>
      <w:p w14:paraId="3FAD97B4" w14:textId="323B83E4" w:rsidR="00631265" w:rsidRDefault="006312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8F1630" w14:textId="77777777" w:rsidR="00816627" w:rsidRDefault="00816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BE95" w14:textId="77777777" w:rsidR="009C22EE" w:rsidRDefault="009C22EE" w:rsidP="00816627">
      <w:pPr>
        <w:spacing w:after="0" w:line="240" w:lineRule="auto"/>
      </w:pPr>
      <w:r>
        <w:separator/>
      </w:r>
    </w:p>
  </w:footnote>
  <w:footnote w:type="continuationSeparator" w:id="0">
    <w:p w14:paraId="1705B7A5" w14:textId="77777777" w:rsidR="009C22EE" w:rsidRDefault="009C22EE" w:rsidP="00816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C9DF" w14:textId="77777777" w:rsidR="00C74E61" w:rsidRDefault="00C74E61">
    <w:pPr>
      <w:pStyle w:val="Header"/>
    </w:pPr>
  </w:p>
  <w:p w14:paraId="2BAD5ADC" w14:textId="7AC8CFB8" w:rsidR="00816627" w:rsidRDefault="00A95ECB">
    <w:pPr>
      <w:pStyle w:val="Header"/>
    </w:pPr>
    <w:r>
      <w:rPr>
        <w:noProof/>
      </w:rPr>
      <w:drawing>
        <wp:inline distT="0" distB="0" distL="0" distR="0" wp14:anchorId="0C39529F" wp14:editId="1D651885">
          <wp:extent cx="502920" cy="333889"/>
          <wp:effectExtent l="0" t="0" r="0" b="9525"/>
          <wp:docPr id="2" name="Picture 3" descr="Logo&#10;&#10;Description automatically generated">
            <a:extLst xmlns:a="http://schemas.openxmlformats.org/drawingml/2006/main">
              <a:ext uri="{FF2B5EF4-FFF2-40B4-BE49-F238E27FC236}">
                <a16:creationId xmlns:a16="http://schemas.microsoft.com/office/drawing/2014/main" id="{F32E4850-3630-0484-E929-C75F061026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10;&#10;Description automatically generated">
                    <a:extLst>
                      <a:ext uri="{FF2B5EF4-FFF2-40B4-BE49-F238E27FC236}">
                        <a16:creationId xmlns:a16="http://schemas.microsoft.com/office/drawing/2014/main" id="{F32E4850-3630-0484-E929-C75F061026C1}"/>
                      </a:ext>
                    </a:extLst>
                  </pic:cNvPr>
                  <pic:cNvPicPr>
                    <a:picLocks noChangeAspect="1"/>
                  </pic:cNvPicPr>
                </pic:nvPicPr>
                <pic:blipFill>
                  <a:blip r:embed="rId1"/>
                  <a:stretch>
                    <a:fillRect/>
                  </a:stretch>
                </pic:blipFill>
                <pic:spPr>
                  <a:xfrm>
                    <a:off x="0" y="0"/>
                    <a:ext cx="580280" cy="3852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167"/>
    <w:multiLevelType w:val="multilevel"/>
    <w:tmpl w:val="EE9C9D5A"/>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2E29BE"/>
    <w:multiLevelType w:val="multilevel"/>
    <w:tmpl w:val="453A201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53D07DF"/>
    <w:multiLevelType w:val="hybridMultilevel"/>
    <w:tmpl w:val="E354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80C83"/>
    <w:multiLevelType w:val="multilevel"/>
    <w:tmpl w:val="52947B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82D8A"/>
    <w:multiLevelType w:val="multilevel"/>
    <w:tmpl w:val="900232F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D3CE6"/>
    <w:multiLevelType w:val="hybridMultilevel"/>
    <w:tmpl w:val="CCC08820"/>
    <w:lvl w:ilvl="0" w:tplc="DC565D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DCB3D96"/>
    <w:multiLevelType w:val="hybridMultilevel"/>
    <w:tmpl w:val="30C2C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01F009B"/>
    <w:multiLevelType w:val="hybridMultilevel"/>
    <w:tmpl w:val="EF32D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B2400"/>
    <w:multiLevelType w:val="hybridMultilevel"/>
    <w:tmpl w:val="27E8641E"/>
    <w:lvl w:ilvl="0" w:tplc="AC305B62">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A11E8"/>
    <w:multiLevelType w:val="hybridMultilevel"/>
    <w:tmpl w:val="D890A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D5B5E"/>
    <w:multiLevelType w:val="multilevel"/>
    <w:tmpl w:val="221E2BA2"/>
    <w:lvl w:ilvl="0">
      <w:start w:val="1"/>
      <w:numFmt w:val="decimal"/>
      <w:lvlText w:val="%1."/>
      <w:lvlJc w:val="left"/>
      <w:pPr>
        <w:ind w:left="765" w:hanging="360"/>
      </w:pPr>
      <w:rPr>
        <w:rFonts w:hint="default"/>
      </w:rPr>
    </w:lvl>
    <w:lvl w:ilvl="1">
      <w:start w:val="5"/>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11" w15:restartNumberingAfterBreak="0">
    <w:nsid w:val="2D0D7892"/>
    <w:multiLevelType w:val="multilevel"/>
    <w:tmpl w:val="C960175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7A27CE"/>
    <w:multiLevelType w:val="hybridMultilevel"/>
    <w:tmpl w:val="6B807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AB4E6B"/>
    <w:multiLevelType w:val="multilevel"/>
    <w:tmpl w:val="50C29B14"/>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636AB8"/>
    <w:multiLevelType w:val="hybridMultilevel"/>
    <w:tmpl w:val="79CA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A5FBD"/>
    <w:multiLevelType w:val="multilevel"/>
    <w:tmpl w:val="4B4E844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426C82"/>
    <w:multiLevelType w:val="multilevel"/>
    <w:tmpl w:val="EE8640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9B5418"/>
    <w:multiLevelType w:val="multilevel"/>
    <w:tmpl w:val="B56ECED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F94A9F"/>
    <w:multiLevelType w:val="multilevel"/>
    <w:tmpl w:val="01BC0B2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566EBB"/>
    <w:multiLevelType w:val="multilevel"/>
    <w:tmpl w:val="8E3031E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A7C0AFE"/>
    <w:multiLevelType w:val="multilevel"/>
    <w:tmpl w:val="A75854C0"/>
    <w:lvl w:ilvl="0">
      <w:start w:val="8"/>
      <w:numFmt w:val="decimal"/>
      <w:lvlText w:val="%1"/>
      <w:lvlJc w:val="left"/>
      <w:pPr>
        <w:ind w:left="360" w:hanging="360"/>
      </w:pPr>
      <w:rPr>
        <w:rFonts w:hint="default"/>
      </w:rPr>
    </w:lvl>
    <w:lvl w:ilvl="1">
      <w:start w:val="3"/>
      <w:numFmt w:val="decimal"/>
      <w:lvlText w:val="%1.%2"/>
      <w:lvlJc w:val="left"/>
      <w:pPr>
        <w:ind w:left="615" w:hanging="36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480" w:hanging="1440"/>
      </w:pPr>
      <w:rPr>
        <w:rFonts w:hint="default"/>
      </w:rPr>
    </w:lvl>
  </w:abstractNum>
  <w:abstractNum w:abstractNumId="21" w15:restartNumberingAfterBreak="0">
    <w:nsid w:val="5AF82F93"/>
    <w:multiLevelType w:val="hybridMultilevel"/>
    <w:tmpl w:val="30C2C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680048C"/>
    <w:multiLevelType w:val="multilevel"/>
    <w:tmpl w:val="5D2A8B66"/>
    <w:lvl w:ilvl="0">
      <w:start w:val="8"/>
      <w:numFmt w:val="decimal"/>
      <w:lvlText w:val="%1"/>
      <w:lvlJc w:val="left"/>
      <w:pPr>
        <w:ind w:left="360" w:hanging="360"/>
      </w:pPr>
      <w:rPr>
        <w:rFonts w:hint="default"/>
      </w:rPr>
    </w:lvl>
    <w:lvl w:ilvl="1">
      <w:start w:val="3"/>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23" w15:restartNumberingAfterBreak="0">
    <w:nsid w:val="6F4A3522"/>
    <w:multiLevelType w:val="multilevel"/>
    <w:tmpl w:val="5622A846"/>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3A4BC3"/>
    <w:multiLevelType w:val="multilevel"/>
    <w:tmpl w:val="5782943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F48510C"/>
    <w:multiLevelType w:val="multilevel"/>
    <w:tmpl w:val="F9EC87B8"/>
    <w:lvl w:ilvl="0">
      <w:start w:val="8"/>
      <w:numFmt w:val="decimal"/>
      <w:lvlText w:val="%1"/>
      <w:lvlJc w:val="left"/>
      <w:pPr>
        <w:ind w:left="360" w:hanging="360"/>
      </w:pPr>
      <w:rPr>
        <w:rFonts w:hint="default"/>
      </w:rPr>
    </w:lvl>
    <w:lvl w:ilvl="1">
      <w:start w:val="3"/>
      <w:numFmt w:val="decimal"/>
      <w:lvlText w:val="%1.%2"/>
      <w:lvlJc w:val="left"/>
      <w:pPr>
        <w:ind w:left="615" w:hanging="36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480" w:hanging="1440"/>
      </w:pPr>
      <w:rPr>
        <w:rFonts w:hint="default"/>
      </w:rPr>
    </w:lvl>
  </w:abstractNum>
  <w:num w:numId="1" w16cid:durableId="1656110715">
    <w:abstractNumId w:val="8"/>
  </w:num>
  <w:num w:numId="2" w16cid:durableId="1340232538">
    <w:abstractNumId w:val="0"/>
  </w:num>
  <w:num w:numId="3" w16cid:durableId="12727128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6981542">
    <w:abstractNumId w:val="23"/>
  </w:num>
  <w:num w:numId="5" w16cid:durableId="36976636">
    <w:abstractNumId w:val="10"/>
  </w:num>
  <w:num w:numId="6" w16cid:durableId="1992756366">
    <w:abstractNumId w:val="14"/>
  </w:num>
  <w:num w:numId="7" w16cid:durableId="1656571133">
    <w:abstractNumId w:val="1"/>
  </w:num>
  <w:num w:numId="8" w16cid:durableId="720447210">
    <w:abstractNumId w:val="12"/>
  </w:num>
  <w:num w:numId="9" w16cid:durableId="338696947">
    <w:abstractNumId w:val="11"/>
  </w:num>
  <w:num w:numId="10" w16cid:durableId="1320383085">
    <w:abstractNumId w:val="18"/>
  </w:num>
  <w:num w:numId="11" w16cid:durableId="1992051966">
    <w:abstractNumId w:val="9"/>
  </w:num>
  <w:num w:numId="12" w16cid:durableId="1949123113">
    <w:abstractNumId w:val="24"/>
  </w:num>
  <w:num w:numId="13" w16cid:durableId="1119907677">
    <w:abstractNumId w:val="3"/>
  </w:num>
  <w:num w:numId="14" w16cid:durableId="89159944">
    <w:abstractNumId w:val="19"/>
  </w:num>
  <w:num w:numId="15" w16cid:durableId="1822191551">
    <w:abstractNumId w:val="25"/>
  </w:num>
  <w:num w:numId="16" w16cid:durableId="723917285">
    <w:abstractNumId w:val="17"/>
  </w:num>
  <w:num w:numId="17" w16cid:durableId="1538005047">
    <w:abstractNumId w:val="22"/>
  </w:num>
  <w:num w:numId="18" w16cid:durableId="2061517871">
    <w:abstractNumId w:val="20"/>
  </w:num>
  <w:num w:numId="19" w16cid:durableId="973757933">
    <w:abstractNumId w:val="2"/>
  </w:num>
  <w:num w:numId="20" w16cid:durableId="839393108">
    <w:abstractNumId w:val="16"/>
  </w:num>
  <w:num w:numId="21" w16cid:durableId="1197112703">
    <w:abstractNumId w:val="15"/>
  </w:num>
  <w:num w:numId="22" w16cid:durableId="967860437">
    <w:abstractNumId w:val="13"/>
  </w:num>
  <w:num w:numId="23" w16cid:durableId="992611630">
    <w:abstractNumId w:val="6"/>
  </w:num>
  <w:num w:numId="24" w16cid:durableId="327637842">
    <w:abstractNumId w:val="21"/>
  </w:num>
  <w:num w:numId="25" w16cid:durableId="99763819">
    <w:abstractNumId w:val="7"/>
  </w:num>
  <w:num w:numId="26" w16cid:durableId="10558098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6113068">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9198513">
    <w:abstractNumId w:val="4"/>
  </w:num>
  <w:num w:numId="29" w16cid:durableId="230233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3A"/>
    <w:rsid w:val="0000196D"/>
    <w:rsid w:val="0000581B"/>
    <w:rsid w:val="000119B7"/>
    <w:rsid w:val="00013F98"/>
    <w:rsid w:val="00016B25"/>
    <w:rsid w:val="00030CF1"/>
    <w:rsid w:val="00060490"/>
    <w:rsid w:val="0007424B"/>
    <w:rsid w:val="0007690A"/>
    <w:rsid w:val="00081878"/>
    <w:rsid w:val="00090C46"/>
    <w:rsid w:val="00096BCD"/>
    <w:rsid w:val="000A51A6"/>
    <w:rsid w:val="000A66FB"/>
    <w:rsid w:val="000B26BC"/>
    <w:rsid w:val="000B3F42"/>
    <w:rsid w:val="000B7F37"/>
    <w:rsid w:val="000D0B04"/>
    <w:rsid w:val="000D5F2B"/>
    <w:rsid w:val="000E7544"/>
    <w:rsid w:val="000F1E06"/>
    <w:rsid w:val="000F380F"/>
    <w:rsid w:val="001273B8"/>
    <w:rsid w:val="001307F3"/>
    <w:rsid w:val="00130A92"/>
    <w:rsid w:val="001320CE"/>
    <w:rsid w:val="00135177"/>
    <w:rsid w:val="00143DCD"/>
    <w:rsid w:val="001442CD"/>
    <w:rsid w:val="00146D4C"/>
    <w:rsid w:val="0018345F"/>
    <w:rsid w:val="00190D1E"/>
    <w:rsid w:val="001A2E19"/>
    <w:rsid w:val="001A4E4D"/>
    <w:rsid w:val="001A580D"/>
    <w:rsid w:val="001B0D20"/>
    <w:rsid w:val="001B51A9"/>
    <w:rsid w:val="001C5F8B"/>
    <w:rsid w:val="001D095E"/>
    <w:rsid w:val="001D0EAC"/>
    <w:rsid w:val="001D359D"/>
    <w:rsid w:val="001E7231"/>
    <w:rsid w:val="001F0747"/>
    <w:rsid w:val="001F390D"/>
    <w:rsid w:val="001F4894"/>
    <w:rsid w:val="00204A89"/>
    <w:rsid w:val="00215EAA"/>
    <w:rsid w:val="00231C54"/>
    <w:rsid w:val="00232397"/>
    <w:rsid w:val="002356A0"/>
    <w:rsid w:val="00235911"/>
    <w:rsid w:val="002432FA"/>
    <w:rsid w:val="002440A4"/>
    <w:rsid w:val="00251906"/>
    <w:rsid w:val="00256E63"/>
    <w:rsid w:val="00260062"/>
    <w:rsid w:val="002730AE"/>
    <w:rsid w:val="00295BC7"/>
    <w:rsid w:val="00297301"/>
    <w:rsid w:val="002A06A3"/>
    <w:rsid w:val="002B25BE"/>
    <w:rsid w:val="002C2F61"/>
    <w:rsid w:val="002C3053"/>
    <w:rsid w:val="002C6C73"/>
    <w:rsid w:val="002E5DD6"/>
    <w:rsid w:val="002F07FC"/>
    <w:rsid w:val="002F14EB"/>
    <w:rsid w:val="00301E29"/>
    <w:rsid w:val="0031613A"/>
    <w:rsid w:val="0032055C"/>
    <w:rsid w:val="003324CC"/>
    <w:rsid w:val="0033365E"/>
    <w:rsid w:val="00334E14"/>
    <w:rsid w:val="0034321D"/>
    <w:rsid w:val="00344E03"/>
    <w:rsid w:val="00346B1C"/>
    <w:rsid w:val="00362BAA"/>
    <w:rsid w:val="003635AD"/>
    <w:rsid w:val="003636F9"/>
    <w:rsid w:val="00364CA2"/>
    <w:rsid w:val="0036726B"/>
    <w:rsid w:val="00371BD0"/>
    <w:rsid w:val="00390795"/>
    <w:rsid w:val="003B1009"/>
    <w:rsid w:val="003C1CF2"/>
    <w:rsid w:val="003E0969"/>
    <w:rsid w:val="00401CF0"/>
    <w:rsid w:val="00403A42"/>
    <w:rsid w:val="00420DB8"/>
    <w:rsid w:val="00430103"/>
    <w:rsid w:val="00433308"/>
    <w:rsid w:val="00444FD2"/>
    <w:rsid w:val="00456A28"/>
    <w:rsid w:val="00465013"/>
    <w:rsid w:val="00467BA9"/>
    <w:rsid w:val="00470132"/>
    <w:rsid w:val="00485282"/>
    <w:rsid w:val="00494BA1"/>
    <w:rsid w:val="00495A50"/>
    <w:rsid w:val="004966BD"/>
    <w:rsid w:val="004A0539"/>
    <w:rsid w:val="004A2558"/>
    <w:rsid w:val="004A3D97"/>
    <w:rsid w:val="004B02ED"/>
    <w:rsid w:val="004B1E5A"/>
    <w:rsid w:val="004C4597"/>
    <w:rsid w:val="004D10E7"/>
    <w:rsid w:val="004D2423"/>
    <w:rsid w:val="004E2AA2"/>
    <w:rsid w:val="004E2C39"/>
    <w:rsid w:val="004E492D"/>
    <w:rsid w:val="004E6082"/>
    <w:rsid w:val="004F19BE"/>
    <w:rsid w:val="004F1B99"/>
    <w:rsid w:val="00500780"/>
    <w:rsid w:val="00532531"/>
    <w:rsid w:val="00535E6E"/>
    <w:rsid w:val="00536775"/>
    <w:rsid w:val="0054528F"/>
    <w:rsid w:val="00551149"/>
    <w:rsid w:val="00552E85"/>
    <w:rsid w:val="00557A88"/>
    <w:rsid w:val="00557BB4"/>
    <w:rsid w:val="00560849"/>
    <w:rsid w:val="00566004"/>
    <w:rsid w:val="00566AE2"/>
    <w:rsid w:val="005726DF"/>
    <w:rsid w:val="00574B48"/>
    <w:rsid w:val="0057724F"/>
    <w:rsid w:val="0058132C"/>
    <w:rsid w:val="0058390C"/>
    <w:rsid w:val="005932F4"/>
    <w:rsid w:val="005959F3"/>
    <w:rsid w:val="00597E67"/>
    <w:rsid w:val="005B6A48"/>
    <w:rsid w:val="005B6F95"/>
    <w:rsid w:val="005E119E"/>
    <w:rsid w:val="005E259C"/>
    <w:rsid w:val="005F7C50"/>
    <w:rsid w:val="00606B5C"/>
    <w:rsid w:val="00616951"/>
    <w:rsid w:val="006212F0"/>
    <w:rsid w:val="0062344A"/>
    <w:rsid w:val="00625018"/>
    <w:rsid w:val="00630BB0"/>
    <w:rsid w:val="00631265"/>
    <w:rsid w:val="00633F83"/>
    <w:rsid w:val="006422D0"/>
    <w:rsid w:val="00642F10"/>
    <w:rsid w:val="00644F83"/>
    <w:rsid w:val="00661FC2"/>
    <w:rsid w:val="00662109"/>
    <w:rsid w:val="006652A2"/>
    <w:rsid w:val="00665DB0"/>
    <w:rsid w:val="0066673B"/>
    <w:rsid w:val="006742A9"/>
    <w:rsid w:val="00686BE8"/>
    <w:rsid w:val="00694C57"/>
    <w:rsid w:val="006B4CDA"/>
    <w:rsid w:val="006B6BF7"/>
    <w:rsid w:val="006C0FC6"/>
    <w:rsid w:val="006C21B9"/>
    <w:rsid w:val="006D4500"/>
    <w:rsid w:val="006D51A2"/>
    <w:rsid w:val="006D5379"/>
    <w:rsid w:val="006E6082"/>
    <w:rsid w:val="006F31F7"/>
    <w:rsid w:val="007003CC"/>
    <w:rsid w:val="0070556C"/>
    <w:rsid w:val="00711B22"/>
    <w:rsid w:val="00714F99"/>
    <w:rsid w:val="00716962"/>
    <w:rsid w:val="00725527"/>
    <w:rsid w:val="00725732"/>
    <w:rsid w:val="00726311"/>
    <w:rsid w:val="00734D76"/>
    <w:rsid w:val="007361E8"/>
    <w:rsid w:val="00741E1D"/>
    <w:rsid w:val="00750080"/>
    <w:rsid w:val="007569AD"/>
    <w:rsid w:val="007625A8"/>
    <w:rsid w:val="00763731"/>
    <w:rsid w:val="00786A9F"/>
    <w:rsid w:val="00790F14"/>
    <w:rsid w:val="00791C42"/>
    <w:rsid w:val="00796D12"/>
    <w:rsid w:val="007A78F7"/>
    <w:rsid w:val="007B4DE6"/>
    <w:rsid w:val="007C23A6"/>
    <w:rsid w:val="007D47EC"/>
    <w:rsid w:val="007D757B"/>
    <w:rsid w:val="007E3353"/>
    <w:rsid w:val="007E50BB"/>
    <w:rsid w:val="007F13E9"/>
    <w:rsid w:val="007F4D6F"/>
    <w:rsid w:val="0081303B"/>
    <w:rsid w:val="00816627"/>
    <w:rsid w:val="00816F4E"/>
    <w:rsid w:val="0082321E"/>
    <w:rsid w:val="0083631C"/>
    <w:rsid w:val="00843F36"/>
    <w:rsid w:val="00845568"/>
    <w:rsid w:val="00860971"/>
    <w:rsid w:val="00864292"/>
    <w:rsid w:val="00871C14"/>
    <w:rsid w:val="008752F7"/>
    <w:rsid w:val="008866DC"/>
    <w:rsid w:val="008918DC"/>
    <w:rsid w:val="00894250"/>
    <w:rsid w:val="008A4A75"/>
    <w:rsid w:val="008A6D05"/>
    <w:rsid w:val="008C0D43"/>
    <w:rsid w:val="008C6821"/>
    <w:rsid w:val="008D489A"/>
    <w:rsid w:val="008D4D5C"/>
    <w:rsid w:val="008D68BA"/>
    <w:rsid w:val="008E56D9"/>
    <w:rsid w:val="008E7E1D"/>
    <w:rsid w:val="008F2959"/>
    <w:rsid w:val="008F6833"/>
    <w:rsid w:val="009132B0"/>
    <w:rsid w:val="009161C5"/>
    <w:rsid w:val="00917732"/>
    <w:rsid w:val="009209A6"/>
    <w:rsid w:val="009212FB"/>
    <w:rsid w:val="00922517"/>
    <w:rsid w:val="00931B30"/>
    <w:rsid w:val="0093325E"/>
    <w:rsid w:val="009338B7"/>
    <w:rsid w:val="009410EB"/>
    <w:rsid w:val="0094459C"/>
    <w:rsid w:val="009469E1"/>
    <w:rsid w:val="0095049B"/>
    <w:rsid w:val="00967D27"/>
    <w:rsid w:val="00992330"/>
    <w:rsid w:val="009A0C01"/>
    <w:rsid w:val="009B157B"/>
    <w:rsid w:val="009B3F1D"/>
    <w:rsid w:val="009C215C"/>
    <w:rsid w:val="009C22EE"/>
    <w:rsid w:val="009C67D5"/>
    <w:rsid w:val="009D0210"/>
    <w:rsid w:val="009E14F8"/>
    <w:rsid w:val="009E3310"/>
    <w:rsid w:val="009F1E60"/>
    <w:rsid w:val="009F6ECA"/>
    <w:rsid w:val="00A045A1"/>
    <w:rsid w:val="00A115B7"/>
    <w:rsid w:val="00A17BB7"/>
    <w:rsid w:val="00A26AB3"/>
    <w:rsid w:val="00A27F7B"/>
    <w:rsid w:val="00A502CC"/>
    <w:rsid w:val="00A71098"/>
    <w:rsid w:val="00A71A5B"/>
    <w:rsid w:val="00A75FB5"/>
    <w:rsid w:val="00A8136C"/>
    <w:rsid w:val="00A84743"/>
    <w:rsid w:val="00A850F4"/>
    <w:rsid w:val="00A8685F"/>
    <w:rsid w:val="00A9107F"/>
    <w:rsid w:val="00A913EC"/>
    <w:rsid w:val="00A95ECB"/>
    <w:rsid w:val="00A97D9D"/>
    <w:rsid w:val="00AA0CCB"/>
    <w:rsid w:val="00AB5AB5"/>
    <w:rsid w:val="00AB6F22"/>
    <w:rsid w:val="00AC37EB"/>
    <w:rsid w:val="00AC3F80"/>
    <w:rsid w:val="00AC7F7B"/>
    <w:rsid w:val="00AE05A1"/>
    <w:rsid w:val="00AE2FBA"/>
    <w:rsid w:val="00AE371C"/>
    <w:rsid w:val="00AE5585"/>
    <w:rsid w:val="00AF199F"/>
    <w:rsid w:val="00AF5A87"/>
    <w:rsid w:val="00B10BB2"/>
    <w:rsid w:val="00B13FC7"/>
    <w:rsid w:val="00B14744"/>
    <w:rsid w:val="00B15107"/>
    <w:rsid w:val="00B16B47"/>
    <w:rsid w:val="00B16E84"/>
    <w:rsid w:val="00B20F2E"/>
    <w:rsid w:val="00B22FAC"/>
    <w:rsid w:val="00B264AC"/>
    <w:rsid w:val="00B33425"/>
    <w:rsid w:val="00B45ADD"/>
    <w:rsid w:val="00B537A0"/>
    <w:rsid w:val="00B64000"/>
    <w:rsid w:val="00B92EA7"/>
    <w:rsid w:val="00B960F9"/>
    <w:rsid w:val="00B96340"/>
    <w:rsid w:val="00BA261B"/>
    <w:rsid w:val="00BA4F30"/>
    <w:rsid w:val="00BA6BA4"/>
    <w:rsid w:val="00BC6755"/>
    <w:rsid w:val="00BD4E72"/>
    <w:rsid w:val="00BE2892"/>
    <w:rsid w:val="00BE2B62"/>
    <w:rsid w:val="00C0538A"/>
    <w:rsid w:val="00C06097"/>
    <w:rsid w:val="00C16772"/>
    <w:rsid w:val="00C16AAC"/>
    <w:rsid w:val="00C31165"/>
    <w:rsid w:val="00C34B75"/>
    <w:rsid w:val="00C4554B"/>
    <w:rsid w:val="00C512B2"/>
    <w:rsid w:val="00C540F4"/>
    <w:rsid w:val="00C63485"/>
    <w:rsid w:val="00C74E61"/>
    <w:rsid w:val="00C76F36"/>
    <w:rsid w:val="00C8474C"/>
    <w:rsid w:val="00CA0B2B"/>
    <w:rsid w:val="00CA0E24"/>
    <w:rsid w:val="00CA2C2B"/>
    <w:rsid w:val="00CA5EAD"/>
    <w:rsid w:val="00CA6FFA"/>
    <w:rsid w:val="00CB5EB2"/>
    <w:rsid w:val="00CB7E37"/>
    <w:rsid w:val="00CD2940"/>
    <w:rsid w:val="00CD53A1"/>
    <w:rsid w:val="00CD64D0"/>
    <w:rsid w:val="00CE7F28"/>
    <w:rsid w:val="00CF65F2"/>
    <w:rsid w:val="00D13A91"/>
    <w:rsid w:val="00D21A5F"/>
    <w:rsid w:val="00D228D6"/>
    <w:rsid w:val="00D24167"/>
    <w:rsid w:val="00D31332"/>
    <w:rsid w:val="00D37D05"/>
    <w:rsid w:val="00D418E1"/>
    <w:rsid w:val="00D46212"/>
    <w:rsid w:val="00D55D9D"/>
    <w:rsid w:val="00D62DEB"/>
    <w:rsid w:val="00D64012"/>
    <w:rsid w:val="00D742FB"/>
    <w:rsid w:val="00D76364"/>
    <w:rsid w:val="00D90892"/>
    <w:rsid w:val="00D921E7"/>
    <w:rsid w:val="00D93498"/>
    <w:rsid w:val="00D961A4"/>
    <w:rsid w:val="00D97557"/>
    <w:rsid w:val="00DA1457"/>
    <w:rsid w:val="00DA1B97"/>
    <w:rsid w:val="00DA774A"/>
    <w:rsid w:val="00DB1312"/>
    <w:rsid w:val="00DD7FA0"/>
    <w:rsid w:val="00DF1D74"/>
    <w:rsid w:val="00E02138"/>
    <w:rsid w:val="00E0239A"/>
    <w:rsid w:val="00E02BE6"/>
    <w:rsid w:val="00E35815"/>
    <w:rsid w:val="00E458CA"/>
    <w:rsid w:val="00E5116B"/>
    <w:rsid w:val="00E57D8F"/>
    <w:rsid w:val="00E6965D"/>
    <w:rsid w:val="00E75E95"/>
    <w:rsid w:val="00E80A25"/>
    <w:rsid w:val="00E818D0"/>
    <w:rsid w:val="00E82A50"/>
    <w:rsid w:val="00E83F53"/>
    <w:rsid w:val="00E905AA"/>
    <w:rsid w:val="00E96366"/>
    <w:rsid w:val="00E96505"/>
    <w:rsid w:val="00EA5E53"/>
    <w:rsid w:val="00EA6F14"/>
    <w:rsid w:val="00EB1189"/>
    <w:rsid w:val="00EB280C"/>
    <w:rsid w:val="00EB6CB6"/>
    <w:rsid w:val="00EB7DD9"/>
    <w:rsid w:val="00ED0BD3"/>
    <w:rsid w:val="00ED1832"/>
    <w:rsid w:val="00ED6F07"/>
    <w:rsid w:val="00EE1B26"/>
    <w:rsid w:val="00EE7BCF"/>
    <w:rsid w:val="00F0223D"/>
    <w:rsid w:val="00F02421"/>
    <w:rsid w:val="00F0367F"/>
    <w:rsid w:val="00F06C48"/>
    <w:rsid w:val="00F1463D"/>
    <w:rsid w:val="00F14C3C"/>
    <w:rsid w:val="00F212AD"/>
    <w:rsid w:val="00F27888"/>
    <w:rsid w:val="00F33C6D"/>
    <w:rsid w:val="00F34FAD"/>
    <w:rsid w:val="00F35624"/>
    <w:rsid w:val="00F4107B"/>
    <w:rsid w:val="00F44429"/>
    <w:rsid w:val="00F57BD2"/>
    <w:rsid w:val="00F71485"/>
    <w:rsid w:val="00F73345"/>
    <w:rsid w:val="00F84569"/>
    <w:rsid w:val="00F91D39"/>
    <w:rsid w:val="00F949DF"/>
    <w:rsid w:val="00FC2FA7"/>
    <w:rsid w:val="00FD4C58"/>
    <w:rsid w:val="00FD6575"/>
    <w:rsid w:val="00FD780C"/>
    <w:rsid w:val="00FE3FA1"/>
    <w:rsid w:val="00FF2CC2"/>
    <w:rsid w:val="00FF6A4F"/>
    <w:rsid w:val="010DBCC3"/>
    <w:rsid w:val="01A6A777"/>
    <w:rsid w:val="04F3BFEE"/>
    <w:rsid w:val="076E070C"/>
    <w:rsid w:val="088D0FB2"/>
    <w:rsid w:val="09C90E88"/>
    <w:rsid w:val="09F8813B"/>
    <w:rsid w:val="0A674226"/>
    <w:rsid w:val="0AADB602"/>
    <w:rsid w:val="0B913051"/>
    <w:rsid w:val="0EEDD101"/>
    <w:rsid w:val="126D94DD"/>
    <w:rsid w:val="1313E0BE"/>
    <w:rsid w:val="1518F0DC"/>
    <w:rsid w:val="15284A34"/>
    <w:rsid w:val="152BF6A1"/>
    <w:rsid w:val="179B215A"/>
    <w:rsid w:val="181BFEC5"/>
    <w:rsid w:val="1B0CB908"/>
    <w:rsid w:val="1C032C7D"/>
    <w:rsid w:val="1C5BC1FE"/>
    <w:rsid w:val="1C8CBA3E"/>
    <w:rsid w:val="1DC7C778"/>
    <w:rsid w:val="1E678611"/>
    <w:rsid w:val="1E7EDA2F"/>
    <w:rsid w:val="2090584F"/>
    <w:rsid w:val="20915262"/>
    <w:rsid w:val="2126CDED"/>
    <w:rsid w:val="21C8FBEE"/>
    <w:rsid w:val="21EF8B16"/>
    <w:rsid w:val="2223F470"/>
    <w:rsid w:val="22649C31"/>
    <w:rsid w:val="227D0480"/>
    <w:rsid w:val="2286F27D"/>
    <w:rsid w:val="23D41E1D"/>
    <w:rsid w:val="23DCA3EE"/>
    <w:rsid w:val="246ABD2C"/>
    <w:rsid w:val="24B39A3D"/>
    <w:rsid w:val="24B5EAF2"/>
    <w:rsid w:val="24C8E202"/>
    <w:rsid w:val="25B4EDFC"/>
    <w:rsid w:val="26779887"/>
    <w:rsid w:val="272F03C7"/>
    <w:rsid w:val="275B0C84"/>
    <w:rsid w:val="27E3E8BD"/>
    <w:rsid w:val="281DE93D"/>
    <w:rsid w:val="28410643"/>
    <w:rsid w:val="28EA1D46"/>
    <w:rsid w:val="2A658EED"/>
    <w:rsid w:val="2C4354F0"/>
    <w:rsid w:val="2C5D4914"/>
    <w:rsid w:val="2D72CB89"/>
    <w:rsid w:val="2DAE62CB"/>
    <w:rsid w:val="2DBD5401"/>
    <w:rsid w:val="2E3F52EC"/>
    <w:rsid w:val="2EB1BBF3"/>
    <w:rsid w:val="2F6A3267"/>
    <w:rsid w:val="2FAFE03E"/>
    <w:rsid w:val="2FFB98AD"/>
    <w:rsid w:val="300F6735"/>
    <w:rsid w:val="3012FA6F"/>
    <w:rsid w:val="30390BB9"/>
    <w:rsid w:val="303DDA29"/>
    <w:rsid w:val="30FDFB5B"/>
    <w:rsid w:val="3276E7B8"/>
    <w:rsid w:val="32A785C3"/>
    <w:rsid w:val="32D819AD"/>
    <w:rsid w:val="332D64B7"/>
    <w:rsid w:val="33D95127"/>
    <w:rsid w:val="362A2AA0"/>
    <w:rsid w:val="367B127D"/>
    <w:rsid w:val="37854F3D"/>
    <w:rsid w:val="37E15D45"/>
    <w:rsid w:val="37F594EE"/>
    <w:rsid w:val="38757851"/>
    <w:rsid w:val="393E8D84"/>
    <w:rsid w:val="395B06A0"/>
    <w:rsid w:val="3994DA83"/>
    <w:rsid w:val="3A0A896D"/>
    <w:rsid w:val="3A208DA8"/>
    <w:rsid w:val="3BAEA88B"/>
    <w:rsid w:val="3C61F822"/>
    <w:rsid w:val="3C7EA9E3"/>
    <w:rsid w:val="3D5746C5"/>
    <w:rsid w:val="3DF1873F"/>
    <w:rsid w:val="3EA76E98"/>
    <w:rsid w:val="3FCF4368"/>
    <w:rsid w:val="40808722"/>
    <w:rsid w:val="412EFD7F"/>
    <w:rsid w:val="41895BA7"/>
    <w:rsid w:val="41D424DE"/>
    <w:rsid w:val="41E4924C"/>
    <w:rsid w:val="42537D10"/>
    <w:rsid w:val="449B091E"/>
    <w:rsid w:val="44D895AA"/>
    <w:rsid w:val="4542C963"/>
    <w:rsid w:val="46315AB1"/>
    <w:rsid w:val="4744C804"/>
    <w:rsid w:val="47C96B88"/>
    <w:rsid w:val="4801FEF4"/>
    <w:rsid w:val="48422A93"/>
    <w:rsid w:val="495012ED"/>
    <w:rsid w:val="49CFC6A9"/>
    <w:rsid w:val="49D059D3"/>
    <w:rsid w:val="4A79AD31"/>
    <w:rsid w:val="4B03B89A"/>
    <w:rsid w:val="4B541A58"/>
    <w:rsid w:val="4B7CD08E"/>
    <w:rsid w:val="4BD05CF3"/>
    <w:rsid w:val="4C6B0FD3"/>
    <w:rsid w:val="4CF9F5CF"/>
    <w:rsid w:val="4D5CA04D"/>
    <w:rsid w:val="4DB473B5"/>
    <w:rsid w:val="4F53CDC0"/>
    <w:rsid w:val="5013657F"/>
    <w:rsid w:val="51F040F9"/>
    <w:rsid w:val="53867784"/>
    <w:rsid w:val="547E2A05"/>
    <w:rsid w:val="55F63447"/>
    <w:rsid w:val="572FED24"/>
    <w:rsid w:val="57FE895D"/>
    <w:rsid w:val="5943CF36"/>
    <w:rsid w:val="59BC1966"/>
    <w:rsid w:val="5A5B8B7D"/>
    <w:rsid w:val="5B783359"/>
    <w:rsid w:val="5C17F528"/>
    <w:rsid w:val="5C92CACF"/>
    <w:rsid w:val="5D2D045C"/>
    <w:rsid w:val="5D9B6AF9"/>
    <w:rsid w:val="5E4D419C"/>
    <w:rsid w:val="60B19E1B"/>
    <w:rsid w:val="60DDDC36"/>
    <w:rsid w:val="62672AF8"/>
    <w:rsid w:val="62DB3E9C"/>
    <w:rsid w:val="6347D8D3"/>
    <w:rsid w:val="6366BBF1"/>
    <w:rsid w:val="643E9D24"/>
    <w:rsid w:val="6499BDB9"/>
    <w:rsid w:val="65AE937C"/>
    <w:rsid w:val="6645DB8C"/>
    <w:rsid w:val="66678827"/>
    <w:rsid w:val="668252E3"/>
    <w:rsid w:val="67078376"/>
    <w:rsid w:val="687F0D9B"/>
    <w:rsid w:val="6A1BF573"/>
    <w:rsid w:val="6B1BDA1D"/>
    <w:rsid w:val="6B638E5F"/>
    <w:rsid w:val="6BDC612A"/>
    <w:rsid w:val="6E5B4BAD"/>
    <w:rsid w:val="7001603B"/>
    <w:rsid w:val="71C4D8DA"/>
    <w:rsid w:val="7228F5C0"/>
    <w:rsid w:val="725C61D2"/>
    <w:rsid w:val="743F0E0E"/>
    <w:rsid w:val="746F02A9"/>
    <w:rsid w:val="74A4F567"/>
    <w:rsid w:val="75E460ED"/>
    <w:rsid w:val="7620F8EC"/>
    <w:rsid w:val="77196129"/>
    <w:rsid w:val="7738CC3D"/>
    <w:rsid w:val="7772E84A"/>
    <w:rsid w:val="7A5F355F"/>
    <w:rsid w:val="7D8CF1D7"/>
    <w:rsid w:val="7E544F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D5B29"/>
  <w15:chartTrackingRefBased/>
  <w15:docId w15:val="{BE7C6D25-A402-42E4-8FE8-718BBCB6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13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613A"/>
    <w:pPr>
      <w:spacing w:after="0" w:line="240" w:lineRule="auto"/>
    </w:pPr>
    <w:rPr>
      <w:lang w:val="en-GB"/>
    </w:rPr>
  </w:style>
  <w:style w:type="table" w:styleId="TableGrid">
    <w:name w:val="Table Grid"/>
    <w:basedOn w:val="TableNormal"/>
    <w:uiPriority w:val="39"/>
    <w:rsid w:val="0031613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13A"/>
    <w:pPr>
      <w:ind w:left="720"/>
      <w:contextualSpacing/>
    </w:pPr>
  </w:style>
  <w:style w:type="character" w:styleId="Hyperlink">
    <w:name w:val="Hyperlink"/>
    <w:basedOn w:val="DefaultParagraphFont"/>
    <w:uiPriority w:val="99"/>
    <w:unhideWhenUsed/>
    <w:rsid w:val="009132B0"/>
    <w:rPr>
      <w:color w:val="0563C1" w:themeColor="hyperlink"/>
      <w:u w:val="single"/>
    </w:rPr>
  </w:style>
  <w:style w:type="character" w:styleId="UnresolvedMention">
    <w:name w:val="Unresolved Mention"/>
    <w:basedOn w:val="DefaultParagraphFont"/>
    <w:uiPriority w:val="99"/>
    <w:semiHidden/>
    <w:unhideWhenUsed/>
    <w:rsid w:val="004A0539"/>
    <w:rPr>
      <w:color w:val="605E5C"/>
      <w:shd w:val="clear" w:color="auto" w:fill="E1DFDD"/>
    </w:rPr>
  </w:style>
  <w:style w:type="paragraph" w:styleId="Header">
    <w:name w:val="header"/>
    <w:basedOn w:val="Normal"/>
    <w:link w:val="HeaderChar"/>
    <w:uiPriority w:val="99"/>
    <w:unhideWhenUsed/>
    <w:rsid w:val="00816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627"/>
    <w:rPr>
      <w:lang w:val="en-GB"/>
    </w:rPr>
  </w:style>
  <w:style w:type="paragraph" w:styleId="Footer">
    <w:name w:val="footer"/>
    <w:basedOn w:val="Normal"/>
    <w:link w:val="FooterChar"/>
    <w:uiPriority w:val="99"/>
    <w:unhideWhenUsed/>
    <w:rsid w:val="00816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627"/>
    <w:rPr>
      <w:lang w:val="en-GB"/>
    </w:rPr>
  </w:style>
  <w:style w:type="paragraph" w:styleId="BalloonText">
    <w:name w:val="Balloon Text"/>
    <w:basedOn w:val="Normal"/>
    <w:link w:val="BalloonTextChar"/>
    <w:uiPriority w:val="99"/>
    <w:semiHidden/>
    <w:unhideWhenUsed/>
    <w:rsid w:val="00796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D12"/>
    <w:rPr>
      <w:rFonts w:ascii="Segoe UI" w:hAnsi="Segoe UI" w:cs="Segoe UI"/>
      <w:sz w:val="18"/>
      <w:szCs w:val="18"/>
      <w:lang w:val="en-GB"/>
    </w:rPr>
  </w:style>
  <w:style w:type="character" w:styleId="CommentReference">
    <w:name w:val="annotation reference"/>
    <w:basedOn w:val="DefaultParagraphFont"/>
    <w:uiPriority w:val="99"/>
    <w:semiHidden/>
    <w:unhideWhenUsed/>
    <w:rsid w:val="00597E67"/>
    <w:rPr>
      <w:sz w:val="16"/>
      <w:szCs w:val="16"/>
    </w:rPr>
  </w:style>
  <w:style w:type="paragraph" w:styleId="CommentText">
    <w:name w:val="annotation text"/>
    <w:basedOn w:val="Normal"/>
    <w:link w:val="CommentTextChar"/>
    <w:uiPriority w:val="99"/>
    <w:unhideWhenUsed/>
    <w:rsid w:val="00597E67"/>
    <w:pPr>
      <w:spacing w:line="240" w:lineRule="auto"/>
    </w:pPr>
    <w:rPr>
      <w:sz w:val="20"/>
      <w:szCs w:val="20"/>
    </w:rPr>
  </w:style>
  <w:style w:type="character" w:customStyle="1" w:styleId="CommentTextChar">
    <w:name w:val="Comment Text Char"/>
    <w:basedOn w:val="DefaultParagraphFont"/>
    <w:link w:val="CommentText"/>
    <w:uiPriority w:val="99"/>
    <w:rsid w:val="00597E67"/>
    <w:rPr>
      <w:sz w:val="20"/>
      <w:szCs w:val="20"/>
      <w:lang w:val="en-GB"/>
    </w:rPr>
  </w:style>
  <w:style w:type="paragraph" w:styleId="CommentSubject">
    <w:name w:val="annotation subject"/>
    <w:basedOn w:val="CommentText"/>
    <w:next w:val="CommentText"/>
    <w:link w:val="CommentSubjectChar"/>
    <w:uiPriority w:val="99"/>
    <w:semiHidden/>
    <w:unhideWhenUsed/>
    <w:rsid w:val="00597E67"/>
    <w:rPr>
      <w:b/>
      <w:bCs/>
    </w:rPr>
  </w:style>
  <w:style w:type="character" w:customStyle="1" w:styleId="CommentSubjectChar">
    <w:name w:val="Comment Subject Char"/>
    <w:basedOn w:val="CommentTextChar"/>
    <w:link w:val="CommentSubject"/>
    <w:uiPriority w:val="99"/>
    <w:semiHidden/>
    <w:rsid w:val="00597E67"/>
    <w:rPr>
      <w:b/>
      <w:bCs/>
      <w:sz w:val="20"/>
      <w:szCs w:val="20"/>
      <w:lang w:val="en-GB"/>
    </w:rPr>
  </w:style>
  <w:style w:type="paragraph" w:styleId="Revision">
    <w:name w:val="Revision"/>
    <w:hidden/>
    <w:uiPriority w:val="99"/>
    <w:semiHidden/>
    <w:rsid w:val="004D2423"/>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24">
      <w:bodyDiv w:val="1"/>
      <w:marLeft w:val="0"/>
      <w:marRight w:val="0"/>
      <w:marTop w:val="0"/>
      <w:marBottom w:val="0"/>
      <w:divBdr>
        <w:top w:val="none" w:sz="0" w:space="0" w:color="auto"/>
        <w:left w:val="none" w:sz="0" w:space="0" w:color="auto"/>
        <w:bottom w:val="none" w:sz="0" w:space="0" w:color="auto"/>
        <w:right w:val="none" w:sz="0" w:space="0" w:color="auto"/>
      </w:divBdr>
    </w:div>
    <w:div w:id="572741767">
      <w:marLeft w:val="0"/>
      <w:marRight w:val="0"/>
      <w:marTop w:val="0"/>
      <w:marBottom w:val="0"/>
      <w:divBdr>
        <w:top w:val="none" w:sz="0" w:space="0" w:color="auto"/>
        <w:left w:val="none" w:sz="0" w:space="0" w:color="auto"/>
        <w:bottom w:val="none" w:sz="0" w:space="0" w:color="auto"/>
        <w:right w:val="none" w:sz="0" w:space="0" w:color="auto"/>
      </w:divBdr>
    </w:div>
    <w:div w:id="19712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t.co.uk/publications/Vaping_briefing" TargetMode="External"/><Relationship Id="rId18" Type="http://schemas.openxmlformats.org/officeDocument/2006/relationships/hyperlink" Target="https://support.bedfont.com/en/knowledge/smokerlyzer-infection-control-and-maintenance-guidelin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csct.co.uk" TargetMode="External"/><Relationship Id="rId17" Type="http://schemas.openxmlformats.org/officeDocument/2006/relationships/hyperlink" Target="mailto:smokefree.sefton@nhs.net" TargetMode="External"/><Relationship Id="rId2" Type="http://schemas.openxmlformats.org/officeDocument/2006/relationships/customXml" Target="../customXml/item2.xml"/><Relationship Id="rId16" Type="http://schemas.openxmlformats.org/officeDocument/2006/relationships/hyperlink" Target="mailto:smokefree.sefton@nhs.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sct.co.uk/usr/pdf/Standard%20Treatment%20Programmepdf" TargetMode="External"/><Relationship Id="rId5" Type="http://schemas.openxmlformats.org/officeDocument/2006/relationships/numbering" Target="numbering.xml"/><Relationship Id="rId15" Type="http://schemas.openxmlformats.org/officeDocument/2006/relationships/hyperlink" Target="mailto:mmierzwa@ablhealth.co.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sct.co.uk/usr/pdf/Standard%20Treatment%25Programm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2bdfb8-977c-4fa4-87a4-9353a3688428">
      <Terms xmlns="http://schemas.microsoft.com/office/infopath/2007/PartnerControls"/>
    </lcf76f155ced4ddcb4097134ff3c332f>
    <TaxCatchAll xmlns="7a319a0d-b577-4cf3-a100-7bdbc5fb704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1BACEB90F79D4496C63AA03F1C0187" ma:contentTypeVersion="18" ma:contentTypeDescription="Create a new document." ma:contentTypeScope="" ma:versionID="3f66bf69c2d5e453535bdce608a28f4d">
  <xsd:schema xmlns:xsd="http://www.w3.org/2001/XMLSchema" xmlns:xs="http://www.w3.org/2001/XMLSchema" xmlns:p="http://schemas.microsoft.com/office/2006/metadata/properties" xmlns:ns2="7a319a0d-b577-4cf3-a100-7bdbc5fb7041" xmlns:ns3="762bdfb8-977c-4fa4-87a4-9353a3688428" targetNamespace="http://schemas.microsoft.com/office/2006/metadata/properties" ma:root="true" ma:fieldsID="8b9fd79ef5d6c803739db21595bc09ae" ns2:_="" ns3:_="">
    <xsd:import namespace="7a319a0d-b577-4cf3-a100-7bdbc5fb7041"/>
    <xsd:import namespace="762bdfb8-977c-4fa4-87a4-9353a36884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19a0d-b577-4cf3-a100-7bdbc5fb70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fff5a2-9311-46b9-a096-0150572861aa}" ma:internalName="TaxCatchAll" ma:showField="CatchAllData" ma:web="7a319a0d-b577-4cf3-a100-7bdbc5fb70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bdfb8-977c-4fa4-87a4-9353a36884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669de8-4c8d-4e4f-a170-7119c0676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398EC-2944-4F5C-99D4-17838D47A7ED}">
  <ds:schemaRefs>
    <ds:schemaRef ds:uri="http://schemas.openxmlformats.org/officeDocument/2006/bibliography"/>
  </ds:schemaRefs>
</ds:datastoreItem>
</file>

<file path=customXml/itemProps2.xml><?xml version="1.0" encoding="utf-8"?>
<ds:datastoreItem xmlns:ds="http://schemas.openxmlformats.org/officeDocument/2006/customXml" ds:itemID="{A96E08D6-8218-4371-B21D-EC39FA0CE9FC}">
  <ds:schemaRefs>
    <ds:schemaRef ds:uri="http://schemas.microsoft.com/office/2006/metadata/properties"/>
    <ds:schemaRef ds:uri="http://schemas.microsoft.com/office/infopath/2007/PartnerControls"/>
    <ds:schemaRef ds:uri="762bdfb8-977c-4fa4-87a4-9353a3688428"/>
    <ds:schemaRef ds:uri="7a319a0d-b577-4cf3-a100-7bdbc5fb7041"/>
  </ds:schemaRefs>
</ds:datastoreItem>
</file>

<file path=customXml/itemProps3.xml><?xml version="1.0" encoding="utf-8"?>
<ds:datastoreItem xmlns:ds="http://schemas.openxmlformats.org/officeDocument/2006/customXml" ds:itemID="{7A8F3021-928F-4D64-A488-C44A4976ADCA}">
  <ds:schemaRefs>
    <ds:schemaRef ds:uri="http://schemas.microsoft.com/sharepoint/v3/contenttype/forms"/>
  </ds:schemaRefs>
</ds:datastoreItem>
</file>

<file path=customXml/itemProps4.xml><?xml version="1.0" encoding="utf-8"?>
<ds:datastoreItem xmlns:ds="http://schemas.openxmlformats.org/officeDocument/2006/customXml" ds:itemID="{28487FD0-F171-4BC5-A87D-D5E2A4A0B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19a0d-b577-4cf3-a100-7bdbc5fb7041"/>
    <ds:schemaRef ds:uri="762bdfb8-977c-4fa4-87a4-9353a3688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4482</Words>
  <Characters>23131</Characters>
  <Application>Microsoft Office Word</Application>
  <DocSecurity>0</DocSecurity>
  <Lines>2313</Lines>
  <Paragraphs>1104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Woodworth</dc:creator>
  <cp:keywords/>
  <dc:description/>
  <cp:lastModifiedBy>Robbie Howard</cp:lastModifiedBy>
  <cp:revision>2</cp:revision>
  <cp:lastPrinted>2020-07-16T11:18:00Z</cp:lastPrinted>
  <dcterms:created xsi:type="dcterms:W3CDTF">2026-05-29T14:55:00Z</dcterms:created>
  <dcterms:modified xsi:type="dcterms:W3CDTF">2026-05-29T14:55:00Z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0x0101005B1BACEB90F79D4496C63AA03F1C0187</vt:lpwstr>
  </property>
</Properties>
</file>