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95539" w14:textId="77777777" w:rsidR="00535E6E" w:rsidRDefault="00535E6E" w:rsidP="002C2F61">
      <w:pPr>
        <w:pStyle w:val="NoSpacing"/>
        <w:rPr>
          <w:rFonts w:ascii="Arial" w:hAnsi="Arial" w:cs="Arial"/>
          <w:b/>
          <w:bCs/>
          <w:sz w:val="28"/>
          <w:szCs w:val="28"/>
        </w:rPr>
      </w:pPr>
    </w:p>
    <w:p w14:paraId="11E643B2" w14:textId="2667342C" w:rsidR="0031613A" w:rsidRPr="00C22F56" w:rsidRDefault="0031613A" w:rsidP="002C2F61">
      <w:pPr>
        <w:pStyle w:val="NoSpacing"/>
        <w:rPr>
          <w:rFonts w:ascii="Arial" w:hAnsi="Arial" w:cs="Arial"/>
          <w:b/>
          <w:bCs/>
          <w:sz w:val="28"/>
          <w:szCs w:val="28"/>
        </w:rPr>
      </w:pPr>
      <w:r w:rsidRPr="00C22F56">
        <w:rPr>
          <w:rFonts w:ascii="Arial" w:hAnsi="Arial" w:cs="Arial"/>
          <w:b/>
          <w:bCs/>
          <w:sz w:val="28"/>
          <w:szCs w:val="28"/>
        </w:rPr>
        <w:t>Service Specification for Community Pharmacy Provision of</w:t>
      </w:r>
    </w:p>
    <w:p w14:paraId="49BFAF92" w14:textId="0B40E785" w:rsidR="0031613A" w:rsidRPr="00C22F56" w:rsidRDefault="0031613A" w:rsidP="00D76364">
      <w:pPr>
        <w:pStyle w:val="NoSpacing"/>
        <w:jc w:val="center"/>
        <w:rPr>
          <w:rFonts w:ascii="Arial" w:hAnsi="Arial" w:cs="Arial"/>
          <w:b/>
          <w:bCs/>
          <w:sz w:val="28"/>
          <w:szCs w:val="28"/>
        </w:rPr>
      </w:pPr>
      <w:r w:rsidRPr="00C22F56">
        <w:rPr>
          <w:rFonts w:ascii="Arial" w:hAnsi="Arial" w:cs="Arial"/>
          <w:b/>
          <w:bCs/>
          <w:sz w:val="28"/>
          <w:szCs w:val="28"/>
        </w:rPr>
        <w:t>Smoking Cessation Services</w:t>
      </w:r>
    </w:p>
    <w:p w14:paraId="5C27E346" w14:textId="77777777" w:rsidR="002C2F61" w:rsidRDefault="002C2F61"/>
    <w:tbl>
      <w:tblPr>
        <w:tblStyle w:val="TableGrid"/>
        <w:tblW w:w="9900" w:type="dxa"/>
        <w:tblInd w:w="-365" w:type="dxa"/>
        <w:tblLook w:val="04A0" w:firstRow="1" w:lastRow="0" w:firstColumn="1" w:lastColumn="0" w:noHBand="0" w:noVBand="1"/>
      </w:tblPr>
      <w:tblGrid>
        <w:gridCol w:w="2912"/>
        <w:gridCol w:w="6988"/>
      </w:tblGrid>
      <w:tr w:rsidR="0031613A" w14:paraId="05C74887" w14:textId="77777777" w:rsidTr="00694C57">
        <w:trPr>
          <w:trHeight w:val="520"/>
        </w:trPr>
        <w:tc>
          <w:tcPr>
            <w:tcW w:w="2912" w:type="dxa"/>
            <w:shd w:val="clear" w:color="auto" w:fill="4472C4" w:themeFill="accent1"/>
          </w:tcPr>
          <w:p w14:paraId="56776923" w14:textId="3877F5D8" w:rsidR="0031613A" w:rsidRPr="005D46CD" w:rsidRDefault="0031613A" w:rsidP="00AB1F63">
            <w:pPr>
              <w:rPr>
                <w:color w:val="FFFFFF" w:themeColor="background1"/>
              </w:rPr>
            </w:pPr>
            <w:r w:rsidRPr="005D46CD">
              <w:rPr>
                <w:color w:val="FFFFFF" w:themeColor="background1"/>
              </w:rPr>
              <w:t>Service Specification No. 1</w:t>
            </w:r>
            <w:r w:rsidR="00694C57" w:rsidRPr="005D46CD">
              <w:rPr>
                <w:color w:val="FFFFFF" w:themeColor="background1"/>
              </w:rPr>
              <w:t>.2</w:t>
            </w:r>
          </w:p>
        </w:tc>
        <w:tc>
          <w:tcPr>
            <w:tcW w:w="6988" w:type="dxa"/>
            <w:shd w:val="clear" w:color="auto" w:fill="auto"/>
          </w:tcPr>
          <w:p w14:paraId="3E094C77" w14:textId="77777777" w:rsidR="0031613A" w:rsidRDefault="0031613A" w:rsidP="00AB1F63"/>
        </w:tc>
      </w:tr>
      <w:tr w:rsidR="0031613A" w14:paraId="6D6B1C0E" w14:textId="77777777" w:rsidTr="00694C57">
        <w:trPr>
          <w:trHeight w:val="267"/>
        </w:trPr>
        <w:tc>
          <w:tcPr>
            <w:tcW w:w="2912" w:type="dxa"/>
            <w:shd w:val="clear" w:color="auto" w:fill="4472C4" w:themeFill="accent1"/>
          </w:tcPr>
          <w:p w14:paraId="4936079C" w14:textId="77777777" w:rsidR="0031613A" w:rsidRPr="005D46CD" w:rsidRDefault="0031613A" w:rsidP="00AB1F63">
            <w:pPr>
              <w:rPr>
                <w:color w:val="FFFFFF" w:themeColor="background1"/>
              </w:rPr>
            </w:pPr>
            <w:r w:rsidRPr="005D46CD">
              <w:rPr>
                <w:color w:val="FFFFFF" w:themeColor="background1"/>
              </w:rPr>
              <w:t>Service</w:t>
            </w:r>
          </w:p>
        </w:tc>
        <w:tc>
          <w:tcPr>
            <w:tcW w:w="6988" w:type="dxa"/>
            <w:shd w:val="clear" w:color="auto" w:fill="auto"/>
          </w:tcPr>
          <w:p w14:paraId="38CEB7BA" w14:textId="16F1061F" w:rsidR="0031613A" w:rsidRDefault="0031613A" w:rsidP="00AB1F63">
            <w:r>
              <w:t xml:space="preserve">Smoking Cessation Services in </w:t>
            </w:r>
            <w:r w:rsidR="00B22FAC">
              <w:t>Sefton</w:t>
            </w:r>
            <w:r>
              <w:t xml:space="preserve"> Community Pharmacies </w:t>
            </w:r>
          </w:p>
        </w:tc>
      </w:tr>
      <w:tr w:rsidR="0031613A" w14:paraId="28E357A0" w14:textId="77777777" w:rsidTr="00694C57">
        <w:trPr>
          <w:trHeight w:val="267"/>
        </w:trPr>
        <w:tc>
          <w:tcPr>
            <w:tcW w:w="2912" w:type="dxa"/>
            <w:shd w:val="clear" w:color="auto" w:fill="4472C4" w:themeFill="accent1"/>
          </w:tcPr>
          <w:p w14:paraId="41203BD9" w14:textId="77777777" w:rsidR="0031613A" w:rsidRPr="005D46CD" w:rsidRDefault="0031613A" w:rsidP="00AB1F63">
            <w:pPr>
              <w:rPr>
                <w:color w:val="FFFFFF" w:themeColor="background1"/>
              </w:rPr>
            </w:pPr>
            <w:r w:rsidRPr="005D46CD">
              <w:rPr>
                <w:color w:val="FFFFFF" w:themeColor="background1"/>
              </w:rPr>
              <w:t>Commissioning Lead</w:t>
            </w:r>
          </w:p>
        </w:tc>
        <w:tc>
          <w:tcPr>
            <w:tcW w:w="6988" w:type="dxa"/>
            <w:shd w:val="clear" w:color="auto" w:fill="auto"/>
          </w:tcPr>
          <w:p w14:paraId="0CA4C9EE" w14:textId="77777777" w:rsidR="0031613A" w:rsidRDefault="0031613A" w:rsidP="00AB1F63">
            <w:r>
              <w:t>ABL Health Ltd</w:t>
            </w:r>
          </w:p>
        </w:tc>
      </w:tr>
      <w:tr w:rsidR="0031613A" w14:paraId="21B65BAC" w14:textId="77777777" w:rsidTr="00694C57">
        <w:trPr>
          <w:trHeight w:val="253"/>
        </w:trPr>
        <w:tc>
          <w:tcPr>
            <w:tcW w:w="2912" w:type="dxa"/>
            <w:shd w:val="clear" w:color="auto" w:fill="4472C4" w:themeFill="accent1"/>
          </w:tcPr>
          <w:p w14:paraId="34A55663" w14:textId="77777777" w:rsidR="0031613A" w:rsidRPr="005D46CD" w:rsidRDefault="0031613A" w:rsidP="00AB1F63">
            <w:pPr>
              <w:rPr>
                <w:color w:val="FFFFFF" w:themeColor="background1"/>
              </w:rPr>
            </w:pPr>
            <w:r w:rsidRPr="005D46CD">
              <w:rPr>
                <w:color w:val="FFFFFF" w:themeColor="background1"/>
              </w:rPr>
              <w:t>Provider Lead</w:t>
            </w:r>
          </w:p>
        </w:tc>
        <w:tc>
          <w:tcPr>
            <w:tcW w:w="6988" w:type="dxa"/>
            <w:shd w:val="clear" w:color="auto" w:fill="auto"/>
          </w:tcPr>
          <w:p w14:paraId="45EFF5D2" w14:textId="77777777" w:rsidR="0031613A" w:rsidRDefault="0031613A" w:rsidP="00AB1F63">
            <w:r>
              <w:t>Lead Pharmacist</w:t>
            </w:r>
          </w:p>
        </w:tc>
      </w:tr>
      <w:tr w:rsidR="0031613A" w14:paraId="77DD5A6F" w14:textId="77777777" w:rsidTr="00694C57">
        <w:trPr>
          <w:trHeight w:val="267"/>
        </w:trPr>
        <w:tc>
          <w:tcPr>
            <w:tcW w:w="2912" w:type="dxa"/>
            <w:shd w:val="clear" w:color="auto" w:fill="4472C4" w:themeFill="accent1"/>
          </w:tcPr>
          <w:p w14:paraId="6BE79BEA" w14:textId="77777777" w:rsidR="0031613A" w:rsidRPr="005D46CD" w:rsidRDefault="0031613A" w:rsidP="00AB1F63">
            <w:pPr>
              <w:rPr>
                <w:color w:val="FFFFFF" w:themeColor="background1"/>
              </w:rPr>
            </w:pPr>
            <w:r w:rsidRPr="005D46CD">
              <w:rPr>
                <w:color w:val="FFFFFF" w:themeColor="background1"/>
              </w:rPr>
              <w:t>Period</w:t>
            </w:r>
          </w:p>
        </w:tc>
        <w:tc>
          <w:tcPr>
            <w:tcW w:w="6988" w:type="dxa"/>
            <w:shd w:val="clear" w:color="auto" w:fill="auto"/>
          </w:tcPr>
          <w:p w14:paraId="2F555652" w14:textId="3A8D61F7" w:rsidR="0031613A" w:rsidRDefault="0031613A" w:rsidP="00AB1F63">
            <w:r>
              <w:t>31</w:t>
            </w:r>
            <w:r w:rsidRPr="00C22F56">
              <w:rPr>
                <w:vertAlign w:val="superscript"/>
              </w:rPr>
              <w:t>st</w:t>
            </w:r>
            <w:r>
              <w:t xml:space="preserve"> March 202</w:t>
            </w:r>
            <w:r w:rsidR="00B96340">
              <w:t>4</w:t>
            </w:r>
            <w:r w:rsidR="008D4D5C">
              <w:t xml:space="preserve"> – 31</w:t>
            </w:r>
            <w:r w:rsidR="008D4D5C" w:rsidRPr="008D4D5C">
              <w:rPr>
                <w:vertAlign w:val="superscript"/>
              </w:rPr>
              <w:t>st</w:t>
            </w:r>
            <w:r w:rsidR="008D4D5C">
              <w:t xml:space="preserve"> March 202</w:t>
            </w:r>
            <w:r w:rsidR="00B96340">
              <w:t>5</w:t>
            </w:r>
          </w:p>
        </w:tc>
      </w:tr>
      <w:tr w:rsidR="0031613A" w14:paraId="68E09805" w14:textId="77777777" w:rsidTr="00694C57">
        <w:trPr>
          <w:trHeight w:val="253"/>
        </w:trPr>
        <w:tc>
          <w:tcPr>
            <w:tcW w:w="2912" w:type="dxa"/>
            <w:shd w:val="clear" w:color="auto" w:fill="4472C4" w:themeFill="accent1"/>
          </w:tcPr>
          <w:p w14:paraId="01E33B94" w14:textId="77777777" w:rsidR="0031613A" w:rsidRPr="005D46CD" w:rsidRDefault="0031613A" w:rsidP="00AB1F63">
            <w:pPr>
              <w:rPr>
                <w:color w:val="FFFFFF" w:themeColor="background1"/>
              </w:rPr>
            </w:pPr>
            <w:r w:rsidRPr="005D46CD">
              <w:rPr>
                <w:color w:val="FFFFFF" w:themeColor="background1"/>
              </w:rPr>
              <w:t>Date of Review</w:t>
            </w:r>
          </w:p>
        </w:tc>
        <w:tc>
          <w:tcPr>
            <w:tcW w:w="6988" w:type="dxa"/>
            <w:shd w:val="clear" w:color="auto" w:fill="auto"/>
          </w:tcPr>
          <w:p w14:paraId="05715BEF" w14:textId="4CD1F0D7" w:rsidR="0031613A" w:rsidRDefault="00B96340" w:rsidP="00AB1F63">
            <w:r>
              <w:t>12.03.2024</w:t>
            </w:r>
          </w:p>
        </w:tc>
      </w:tr>
    </w:tbl>
    <w:p w14:paraId="3D0A60C5" w14:textId="77777777" w:rsidR="0031613A" w:rsidRPr="001B611A" w:rsidRDefault="0031613A" w:rsidP="0031613A">
      <w:pPr>
        <w:rPr>
          <w:color w:val="FFFFFF" w:themeColor="background1"/>
        </w:rPr>
      </w:pPr>
    </w:p>
    <w:tbl>
      <w:tblPr>
        <w:tblStyle w:val="TableGrid"/>
        <w:tblW w:w="10141" w:type="dxa"/>
        <w:tblInd w:w="-365" w:type="dxa"/>
        <w:tblLook w:val="04A0" w:firstRow="1" w:lastRow="0" w:firstColumn="1" w:lastColumn="0" w:noHBand="0" w:noVBand="1"/>
      </w:tblPr>
      <w:tblGrid>
        <w:gridCol w:w="10141"/>
      </w:tblGrid>
      <w:tr w:rsidR="001B611A" w:rsidRPr="001B611A" w14:paraId="7727E6E7" w14:textId="77777777" w:rsidTr="007B4DE6">
        <w:tc>
          <w:tcPr>
            <w:tcW w:w="10141" w:type="dxa"/>
            <w:shd w:val="clear" w:color="auto" w:fill="4472C4" w:themeFill="accent1"/>
          </w:tcPr>
          <w:p w14:paraId="522F2EEC" w14:textId="60D75CFC" w:rsidR="0031613A" w:rsidRPr="001B611A" w:rsidRDefault="002C2F61" w:rsidP="002C2F61">
            <w:pPr>
              <w:rPr>
                <w:color w:val="FFFFFF" w:themeColor="background1"/>
              </w:rPr>
            </w:pPr>
            <w:r w:rsidRPr="001B611A">
              <w:rPr>
                <w:color w:val="FFFFFF" w:themeColor="background1"/>
              </w:rPr>
              <w:t>1.</w:t>
            </w:r>
            <w:r w:rsidR="0031613A" w:rsidRPr="001B611A">
              <w:rPr>
                <w:color w:val="FFFFFF" w:themeColor="background1"/>
              </w:rPr>
              <w:t>Population Needs</w:t>
            </w:r>
          </w:p>
        </w:tc>
      </w:tr>
      <w:tr w:rsidR="0031613A" w14:paraId="0BF76C60" w14:textId="77777777" w:rsidTr="007B4DE6">
        <w:tc>
          <w:tcPr>
            <w:tcW w:w="10141" w:type="dxa"/>
          </w:tcPr>
          <w:p w14:paraId="2D603E66" w14:textId="77777777" w:rsidR="00477754" w:rsidRDefault="00477754" w:rsidP="00477754">
            <w:pPr>
              <w:suppressAutoHyphens/>
              <w:jc w:val="both"/>
              <w:rPr>
                <w:rFonts w:eastAsia="Times New Roman" w:cstheme="minorHAnsi"/>
              </w:rPr>
            </w:pPr>
          </w:p>
          <w:p w14:paraId="2EBAC086" w14:textId="522B60B2" w:rsidR="00477754" w:rsidRPr="00477754" w:rsidRDefault="00477754" w:rsidP="00477754">
            <w:pPr>
              <w:suppressAutoHyphens/>
              <w:jc w:val="both"/>
              <w:rPr>
                <w:rFonts w:eastAsia="Times New Roman" w:cstheme="minorHAnsi"/>
              </w:rPr>
            </w:pPr>
            <w:r w:rsidRPr="00477754">
              <w:rPr>
                <w:rFonts w:eastAsia="Times New Roman" w:cstheme="minorHAnsi"/>
              </w:rPr>
              <w:t xml:space="preserve">Sefton has a population of 279,231 and is ranked as the 89th out of 317 most deprived Local Authority in England (IMD 2019). In Sefton, there are over 22,000 adult smokers, with prevalence estimated to be 7.9% of the adult population (10.1% of males, 5.9% of females, Annual Population Survey, 2022).  Over the past decade smoking prevalence in adults in Sefton has more than halved, appearing to level off at around the current level from 2020, with the onset of the Covid-19 pandemic. This decline has taken place at a faster rate than the England average (prevalence 12.7% in 2022) and Sefton has the lowest adult smoking rate in the Northwest. This is likely also in part at least, a reflection of the larger than average portion of older people in Sefton’s population. </w:t>
            </w:r>
            <w:r>
              <w:rPr>
                <w:rFonts w:eastAsia="Times New Roman" w:cstheme="minorHAnsi"/>
              </w:rPr>
              <w:t>(Sefton LA Joint Strategic Needs Assessment)</w:t>
            </w:r>
          </w:p>
          <w:p w14:paraId="4D78A5C0" w14:textId="77777777" w:rsidR="00477754" w:rsidRPr="00477754" w:rsidRDefault="00477754" w:rsidP="00477754">
            <w:pPr>
              <w:suppressAutoHyphens/>
              <w:jc w:val="both"/>
              <w:rPr>
                <w:rFonts w:cstheme="minorHAnsi"/>
              </w:rPr>
            </w:pPr>
          </w:p>
          <w:p w14:paraId="287BA51F" w14:textId="77777777" w:rsidR="00477754" w:rsidRPr="00477754" w:rsidRDefault="00477754" w:rsidP="00477754">
            <w:pPr>
              <w:suppressAutoHyphens/>
              <w:jc w:val="both"/>
              <w:rPr>
                <w:rFonts w:eastAsia="Times New Roman" w:cstheme="minorHAnsi"/>
              </w:rPr>
            </w:pPr>
            <w:r w:rsidRPr="00477754">
              <w:rPr>
                <w:rFonts w:eastAsia="Times New Roman" w:cstheme="minorHAnsi"/>
              </w:rPr>
              <w:t>However,</w:t>
            </w:r>
            <w:r w:rsidRPr="00477754" w:rsidDel="00B71B41">
              <w:rPr>
                <w:rFonts w:eastAsia="Times New Roman" w:cstheme="minorHAnsi"/>
              </w:rPr>
              <w:t xml:space="preserve"> </w:t>
            </w:r>
            <w:r w:rsidRPr="00477754">
              <w:rPr>
                <w:rFonts w:eastAsia="Times New Roman" w:cstheme="minorHAnsi"/>
              </w:rPr>
              <w:t xml:space="preserve">this success masks higher prevalence in more socio-economically disadvantaged parts of Sefton’s population and in other population sub-groups. Sefton-level and national data shows that the following are priority groups for more intensive support and additional care in delivering a stop smoking service that best meets needs in these groups and seeks to overcomes barriers to achieving successful outcomes. </w:t>
            </w:r>
          </w:p>
          <w:p w14:paraId="64026D1D" w14:textId="77777777" w:rsidR="00B16B47" w:rsidRDefault="00B16B47" w:rsidP="00B22FAC"/>
          <w:p w14:paraId="7FCD32CB" w14:textId="1F5EE30D" w:rsidR="00D418E1" w:rsidRDefault="00BE2B62" w:rsidP="00B22FAC">
            <w:r w:rsidRPr="00074584">
              <w:t xml:space="preserve">Over 1.6 million people access pharmacies each week, opportunities to raise the issue of nicotine and tobacco use should be used to increase the footfall into the service. </w:t>
            </w:r>
          </w:p>
          <w:p w14:paraId="6C8D836A" w14:textId="2E1B9328" w:rsidR="009161C5" w:rsidRDefault="009161C5" w:rsidP="00B22FAC"/>
        </w:tc>
      </w:tr>
      <w:tr w:rsidR="0031613A" w14:paraId="1FD5BA1B" w14:textId="77777777" w:rsidTr="007B4DE6">
        <w:tc>
          <w:tcPr>
            <w:tcW w:w="10141" w:type="dxa"/>
            <w:shd w:val="clear" w:color="auto" w:fill="4472C4" w:themeFill="accent1"/>
          </w:tcPr>
          <w:p w14:paraId="2E0563E3" w14:textId="41E8CEBD" w:rsidR="0031613A" w:rsidRPr="009132C4" w:rsidRDefault="002C2F61" w:rsidP="00AB1F63">
            <w:pPr>
              <w:rPr>
                <w:color w:val="FF0000"/>
              </w:rPr>
            </w:pPr>
            <w:r w:rsidRPr="001B611A">
              <w:rPr>
                <w:color w:val="FFFFFF" w:themeColor="background1"/>
              </w:rPr>
              <w:t>2.</w:t>
            </w:r>
            <w:r w:rsidR="0031613A" w:rsidRPr="001B611A">
              <w:rPr>
                <w:color w:val="FFFFFF" w:themeColor="background1"/>
              </w:rPr>
              <w:t xml:space="preserve"> Applicable Service Standards</w:t>
            </w:r>
          </w:p>
        </w:tc>
      </w:tr>
      <w:tr w:rsidR="0031613A" w14:paraId="6682B0D6" w14:textId="77777777" w:rsidTr="007B4DE6">
        <w:tc>
          <w:tcPr>
            <w:tcW w:w="10141" w:type="dxa"/>
          </w:tcPr>
          <w:p w14:paraId="6D10BA82" w14:textId="77777777" w:rsidR="001F390D" w:rsidRDefault="001F390D" w:rsidP="00AB1F63"/>
          <w:p w14:paraId="655171F3" w14:textId="500864D2" w:rsidR="0031613A" w:rsidRDefault="0031613A" w:rsidP="00AB1F63">
            <w:r w:rsidRPr="000853F1">
              <w:t xml:space="preserve">It is essential </w:t>
            </w:r>
            <w:r>
              <w:t>the service follows national guidance and evidence based best practice, and ensures new guidance is implemented quickly and seamlessly.</w:t>
            </w:r>
          </w:p>
          <w:p w14:paraId="008D76CF" w14:textId="77777777" w:rsidR="0031613A" w:rsidRDefault="0031613A" w:rsidP="00AB1F63">
            <w:r w:rsidRPr="000853F1">
              <w:t>Current guidance includes</w:t>
            </w:r>
            <w:r>
              <w:t>:</w:t>
            </w:r>
          </w:p>
          <w:p w14:paraId="4E139C85" w14:textId="77777777" w:rsidR="0031613A" w:rsidRDefault="0031613A" w:rsidP="00AB1F63">
            <w:r>
              <w:t>The NHS Long Term Plan (2019)</w:t>
            </w:r>
          </w:p>
          <w:p w14:paraId="7EFAE2A3" w14:textId="6DC87041" w:rsidR="0031613A" w:rsidRDefault="0031613A" w:rsidP="00AB1F63">
            <w:r>
              <w:t>Towards a Smokefree Generation: A Tobacco Control Plan for England (</w:t>
            </w:r>
            <w:proofErr w:type="spellStart"/>
            <w:r>
              <w:t>DoH</w:t>
            </w:r>
            <w:proofErr w:type="spellEnd"/>
            <w:r>
              <w:t xml:space="preserve"> 2017)</w:t>
            </w:r>
          </w:p>
          <w:p w14:paraId="79D59101" w14:textId="661B0D47" w:rsidR="0031613A" w:rsidRDefault="0031613A" w:rsidP="00AB1F63">
            <w:r>
              <w:t xml:space="preserve">NICE guidance </w:t>
            </w:r>
            <w:r w:rsidR="007B4DE6">
              <w:t>PH 20</w:t>
            </w:r>
            <w:r w:rsidR="004E492D">
              <w:t>9. (2022) Updated.</w:t>
            </w:r>
          </w:p>
          <w:p w14:paraId="068C599E" w14:textId="77777777" w:rsidR="00477754" w:rsidRDefault="000F1E06" w:rsidP="004E492D">
            <w:r>
              <w:t>NCSCT Standard Treatment Prog</w:t>
            </w:r>
            <w:r w:rsidR="0054528F">
              <w:t>r</w:t>
            </w:r>
            <w:r>
              <w:t>amme</w:t>
            </w:r>
            <w:r w:rsidR="0031613A">
              <w:tab/>
            </w:r>
          </w:p>
          <w:p w14:paraId="1128D511" w14:textId="08FAC518" w:rsidR="005D46CD" w:rsidRPr="000853F1" w:rsidRDefault="005D46CD" w:rsidP="004E492D"/>
        </w:tc>
      </w:tr>
      <w:tr w:rsidR="0031613A" w14:paraId="2AC42F82" w14:textId="77777777" w:rsidTr="007B4DE6">
        <w:tc>
          <w:tcPr>
            <w:tcW w:w="10141" w:type="dxa"/>
            <w:shd w:val="clear" w:color="auto" w:fill="4472C4" w:themeFill="accent1"/>
          </w:tcPr>
          <w:p w14:paraId="7F2432F7" w14:textId="3931BD8D" w:rsidR="0031613A" w:rsidRPr="001B611A" w:rsidRDefault="002C2F61" w:rsidP="0031613A">
            <w:pPr>
              <w:rPr>
                <w:color w:val="FFFFFF" w:themeColor="background1"/>
              </w:rPr>
            </w:pPr>
            <w:r w:rsidRPr="001B611A">
              <w:rPr>
                <w:color w:val="FFFFFF" w:themeColor="background1"/>
                <w:sz w:val="24"/>
                <w:szCs w:val="24"/>
              </w:rPr>
              <w:t>3.</w:t>
            </w:r>
            <w:r w:rsidR="0031613A" w:rsidRPr="001B611A">
              <w:rPr>
                <w:color w:val="FFFFFF" w:themeColor="background1"/>
                <w:sz w:val="24"/>
                <w:szCs w:val="24"/>
              </w:rPr>
              <w:t xml:space="preserve">Scope   </w:t>
            </w:r>
          </w:p>
        </w:tc>
      </w:tr>
      <w:tr w:rsidR="0031613A" w14:paraId="45246D87" w14:textId="77777777" w:rsidTr="007B4DE6">
        <w:tc>
          <w:tcPr>
            <w:tcW w:w="10141" w:type="dxa"/>
          </w:tcPr>
          <w:p w14:paraId="150C1711" w14:textId="77777777" w:rsidR="0031613A" w:rsidRDefault="0031613A" w:rsidP="0031613A"/>
          <w:p w14:paraId="2AE232CC" w14:textId="77777777" w:rsidR="0031613A" w:rsidRPr="00B55DB0" w:rsidRDefault="0031613A" w:rsidP="0031613A">
            <w:pPr>
              <w:rPr>
                <w:b/>
                <w:sz w:val="24"/>
                <w:szCs w:val="24"/>
              </w:rPr>
            </w:pPr>
            <w:r w:rsidRPr="00B55DB0">
              <w:rPr>
                <w:b/>
                <w:sz w:val="24"/>
                <w:szCs w:val="24"/>
              </w:rPr>
              <w:t xml:space="preserve">Aims </w:t>
            </w:r>
          </w:p>
          <w:p w14:paraId="42C39640" w14:textId="224B469B" w:rsidR="0031613A" w:rsidRDefault="0031613A" w:rsidP="0031613A">
            <w:pPr>
              <w:pStyle w:val="ListParagraph"/>
              <w:numPr>
                <w:ilvl w:val="0"/>
                <w:numId w:val="2"/>
              </w:numPr>
            </w:pPr>
            <w:r>
              <w:lastRenderedPageBreak/>
              <w:t xml:space="preserve">To improve access to Smoking Cessation Services by maintaining a </w:t>
            </w:r>
            <w:r w:rsidR="00A71098">
              <w:t>one-to-one</w:t>
            </w:r>
            <w:r>
              <w:t xml:space="preserve"> service within community pharmacies. This will ensure easy, </w:t>
            </w:r>
            <w:r w:rsidR="00F71485">
              <w:t>seamless,</w:t>
            </w:r>
            <w:r>
              <w:t xml:space="preserve"> and swift access to an advisor.</w:t>
            </w:r>
          </w:p>
          <w:p w14:paraId="588CE9C1" w14:textId="6B5EAE70" w:rsidR="00D418E1" w:rsidRDefault="00D418E1" w:rsidP="0031613A">
            <w:pPr>
              <w:pStyle w:val="ListParagraph"/>
              <w:numPr>
                <w:ilvl w:val="0"/>
                <w:numId w:val="2"/>
              </w:numPr>
            </w:pPr>
            <w:r>
              <w:t>For clients to have access to Nicotine Replacement Therapy via a voucher scheme</w:t>
            </w:r>
          </w:p>
          <w:p w14:paraId="6467DC6E" w14:textId="344F0094" w:rsidR="0031613A" w:rsidRDefault="0031613A" w:rsidP="0031613A">
            <w:pPr>
              <w:pStyle w:val="ListParagraph"/>
              <w:numPr>
                <w:ilvl w:val="0"/>
                <w:numId w:val="2"/>
              </w:numPr>
            </w:pPr>
            <w:r>
              <w:t xml:space="preserve">To contribute to </w:t>
            </w:r>
            <w:r w:rsidR="00D418E1">
              <w:t>Sefton`s</w:t>
            </w:r>
            <w:r>
              <w:t xml:space="preserve"> locally set Smoking Cessation targets.</w:t>
            </w:r>
          </w:p>
          <w:p w14:paraId="7F80573A" w14:textId="77777777" w:rsidR="0031613A" w:rsidRDefault="0031613A" w:rsidP="0031613A">
            <w:pPr>
              <w:pStyle w:val="ListParagraph"/>
              <w:numPr>
                <w:ilvl w:val="0"/>
                <w:numId w:val="2"/>
              </w:numPr>
            </w:pPr>
            <w:r>
              <w:t>To reduce health and social inequalities.</w:t>
            </w:r>
          </w:p>
          <w:p w14:paraId="3363F657" w14:textId="7733BFBD" w:rsidR="0031613A" w:rsidRDefault="0031613A" w:rsidP="0031613A">
            <w:pPr>
              <w:pStyle w:val="ListParagraph"/>
              <w:numPr>
                <w:ilvl w:val="0"/>
                <w:numId w:val="2"/>
              </w:numPr>
            </w:pPr>
            <w:r>
              <w:t xml:space="preserve">To develop and sustain a high - quality Smoking Cessation Service in accordance </w:t>
            </w:r>
            <w:r w:rsidR="00A71098">
              <w:t>with</w:t>
            </w:r>
            <w:r>
              <w:t xml:space="preserve"> national standards and </w:t>
            </w:r>
            <w:r w:rsidR="00A71098">
              <w:t>guidance.</w:t>
            </w:r>
          </w:p>
          <w:p w14:paraId="50858E36" w14:textId="77777777" w:rsidR="0031613A" w:rsidRDefault="0031613A" w:rsidP="0031613A"/>
          <w:p w14:paraId="52BB5394" w14:textId="632A20C1" w:rsidR="009410EB" w:rsidRDefault="009410EB" w:rsidP="0031613A">
            <w:r>
              <w:t xml:space="preserve">Pharmacies have a choice in the provision of service they want to provide in accordance </w:t>
            </w:r>
            <w:r w:rsidR="00A71098">
              <w:t>with</w:t>
            </w:r>
            <w:r>
              <w:t xml:space="preserve"> this SLA. This can be one option or a combination.</w:t>
            </w:r>
          </w:p>
          <w:p w14:paraId="04FCDC33" w14:textId="77777777" w:rsidR="001F390D" w:rsidRDefault="001F390D" w:rsidP="0031613A"/>
          <w:p w14:paraId="60CA36E1" w14:textId="1B2C8E9F" w:rsidR="009410EB" w:rsidRPr="00A26AB3" w:rsidRDefault="009410EB" w:rsidP="0031613A">
            <w:pPr>
              <w:rPr>
                <w:b/>
                <w:bCs/>
              </w:rPr>
            </w:pPr>
            <w:r w:rsidRPr="00A26AB3">
              <w:rPr>
                <w:b/>
                <w:bCs/>
              </w:rPr>
              <w:t>Option 1- Dispensing of NRT via a time-limited voucher</w:t>
            </w:r>
          </w:p>
          <w:p w14:paraId="17683584" w14:textId="6B8ADBF0" w:rsidR="009410EB" w:rsidRPr="00A26AB3" w:rsidRDefault="009410EB" w:rsidP="0031613A">
            <w:pPr>
              <w:rPr>
                <w:b/>
                <w:bCs/>
              </w:rPr>
            </w:pPr>
            <w:r w:rsidRPr="00A26AB3">
              <w:rPr>
                <w:b/>
                <w:bCs/>
              </w:rPr>
              <w:t>Option 2- The delivery of Level 2 Smoking Cessation intervention</w:t>
            </w:r>
          </w:p>
          <w:p w14:paraId="5C4D936C" w14:textId="77777777" w:rsidR="009410EB" w:rsidRDefault="009410EB" w:rsidP="0031613A"/>
          <w:p w14:paraId="012689BE" w14:textId="2D2268F5" w:rsidR="009410EB" w:rsidRPr="00A26AB3" w:rsidRDefault="009410EB" w:rsidP="0031613A">
            <w:pPr>
              <w:rPr>
                <w:b/>
                <w:bCs/>
              </w:rPr>
            </w:pPr>
            <w:r w:rsidRPr="00A26AB3">
              <w:rPr>
                <w:b/>
                <w:bCs/>
              </w:rPr>
              <w:t xml:space="preserve">All community pharmacies will be enrolled in </w:t>
            </w:r>
            <w:r w:rsidR="00FD6575" w:rsidRPr="00A26AB3">
              <w:rPr>
                <w:b/>
                <w:bCs/>
              </w:rPr>
              <w:t>option 1 but must express an interest to provide either or both options 2</w:t>
            </w:r>
            <w:r w:rsidR="007B4DE6">
              <w:rPr>
                <w:b/>
                <w:bCs/>
              </w:rPr>
              <w:t>.</w:t>
            </w:r>
          </w:p>
          <w:p w14:paraId="3BDDC03B" w14:textId="520411AA" w:rsidR="00FD6575" w:rsidRPr="000853F1" w:rsidRDefault="00FD6575" w:rsidP="0031613A"/>
        </w:tc>
      </w:tr>
      <w:tr w:rsidR="0031613A" w14:paraId="282C77D5" w14:textId="77777777" w:rsidTr="007B4DE6">
        <w:tc>
          <w:tcPr>
            <w:tcW w:w="10141" w:type="dxa"/>
            <w:shd w:val="clear" w:color="auto" w:fill="4472C4" w:themeFill="accent1"/>
          </w:tcPr>
          <w:p w14:paraId="5E8B7C4D" w14:textId="52CCF8DB" w:rsidR="0031613A" w:rsidRPr="003C0FCE" w:rsidRDefault="00FD6575" w:rsidP="0031613A">
            <w:pPr>
              <w:tabs>
                <w:tab w:val="left" w:pos="1815"/>
              </w:tabs>
              <w:rPr>
                <w:color w:val="FFFFFF"/>
              </w:rPr>
            </w:pPr>
            <w:r w:rsidRPr="003C0FCE">
              <w:rPr>
                <w:color w:val="FFFFFF"/>
              </w:rPr>
              <w:lastRenderedPageBreak/>
              <w:t>4. Option 1</w:t>
            </w:r>
            <w:r w:rsidR="00EB280C" w:rsidRPr="003C0FCE">
              <w:rPr>
                <w:color w:val="FFFFFF"/>
              </w:rPr>
              <w:t>:</w:t>
            </w:r>
            <w:r w:rsidRPr="003C0FCE">
              <w:rPr>
                <w:color w:val="FFFFFF"/>
              </w:rPr>
              <w:t xml:space="preserve"> The </w:t>
            </w:r>
            <w:r w:rsidR="00EB280C" w:rsidRPr="003C0FCE">
              <w:rPr>
                <w:color w:val="FFFFFF"/>
              </w:rPr>
              <w:t>Supply</w:t>
            </w:r>
            <w:r w:rsidRPr="003C0FCE">
              <w:rPr>
                <w:color w:val="FFFFFF"/>
              </w:rPr>
              <w:t xml:space="preserve"> of </w:t>
            </w:r>
            <w:r w:rsidR="00EB280C" w:rsidRPr="003C0FCE">
              <w:rPr>
                <w:color w:val="FFFFFF"/>
              </w:rPr>
              <w:t xml:space="preserve">Nicotine Replacement Therapy (NRT) </w:t>
            </w:r>
          </w:p>
        </w:tc>
      </w:tr>
      <w:tr w:rsidR="009410EB" w14:paraId="7105C227" w14:textId="77777777" w:rsidTr="007B4DE6">
        <w:tc>
          <w:tcPr>
            <w:tcW w:w="10141" w:type="dxa"/>
            <w:shd w:val="clear" w:color="auto" w:fill="auto"/>
          </w:tcPr>
          <w:p w14:paraId="4CB032FE" w14:textId="1C73CE7D" w:rsidR="009410EB" w:rsidRDefault="009410EB" w:rsidP="0031613A">
            <w:pPr>
              <w:tabs>
                <w:tab w:val="left" w:pos="1815"/>
              </w:tabs>
              <w:rPr>
                <w:color w:val="000000" w:themeColor="text1"/>
              </w:rPr>
            </w:pPr>
          </w:p>
          <w:p w14:paraId="329DF8A4" w14:textId="306F5F32" w:rsidR="00CF65F2" w:rsidRDefault="00EB280C" w:rsidP="0031613A">
            <w:pPr>
              <w:tabs>
                <w:tab w:val="left" w:pos="1815"/>
              </w:tabs>
              <w:rPr>
                <w:color w:val="000000" w:themeColor="text1"/>
              </w:rPr>
            </w:pPr>
            <w:r>
              <w:rPr>
                <w:color w:val="000000" w:themeColor="text1"/>
              </w:rPr>
              <w:t xml:space="preserve">During their consultation with a member of </w:t>
            </w:r>
            <w:r w:rsidR="00A71098">
              <w:rPr>
                <w:color w:val="000000" w:themeColor="text1"/>
              </w:rPr>
              <w:t>staff from Smokefree Sefton,</w:t>
            </w:r>
            <w:r>
              <w:rPr>
                <w:color w:val="000000" w:themeColor="text1"/>
              </w:rPr>
              <w:t xml:space="preserve"> the client will be issued with a time-limited printed voucher for NRT</w:t>
            </w:r>
            <w:r w:rsidR="00633F83">
              <w:rPr>
                <w:color w:val="000000" w:themeColor="text1"/>
              </w:rPr>
              <w:t xml:space="preserve"> products </w:t>
            </w:r>
            <w:r w:rsidR="00A26AB3">
              <w:rPr>
                <w:color w:val="000000" w:themeColor="text1"/>
              </w:rPr>
              <w:t>which</w:t>
            </w:r>
            <w:r w:rsidR="00633F83">
              <w:rPr>
                <w:color w:val="000000" w:themeColor="text1"/>
              </w:rPr>
              <w:t xml:space="preserve"> can be taken to any pharmacy to be dispensed.</w:t>
            </w:r>
            <w:r w:rsidR="00D13A91">
              <w:rPr>
                <w:color w:val="000000" w:themeColor="text1"/>
              </w:rPr>
              <w:t xml:space="preserve"> </w:t>
            </w:r>
            <w:r w:rsidR="00500780">
              <w:rPr>
                <w:color w:val="000000" w:themeColor="text1"/>
              </w:rPr>
              <w:t>Vouchers</w:t>
            </w:r>
            <w:r w:rsidR="00536775">
              <w:rPr>
                <w:color w:val="000000" w:themeColor="text1"/>
              </w:rPr>
              <w:t xml:space="preserve"> must be presented to a </w:t>
            </w:r>
            <w:r w:rsidR="008866DC">
              <w:rPr>
                <w:color w:val="000000" w:themeColor="text1"/>
              </w:rPr>
              <w:t>pharmacy within 2 weeks from the date of issue.</w:t>
            </w:r>
            <w:r w:rsidR="00644F83">
              <w:rPr>
                <w:color w:val="000000" w:themeColor="text1"/>
              </w:rPr>
              <w:t xml:space="preserve"> </w:t>
            </w:r>
            <w:r w:rsidR="00F06C48">
              <w:rPr>
                <w:color w:val="000000" w:themeColor="text1"/>
              </w:rPr>
              <w:t>A maximum of 2 different types of product</w:t>
            </w:r>
            <w:r w:rsidR="00B264AC">
              <w:rPr>
                <w:color w:val="000000" w:themeColor="text1"/>
              </w:rPr>
              <w:t xml:space="preserve">s may be </w:t>
            </w:r>
            <w:r w:rsidR="001A2E19">
              <w:rPr>
                <w:color w:val="000000" w:themeColor="text1"/>
              </w:rPr>
              <w:t>issued to individual clie</w:t>
            </w:r>
            <w:r w:rsidR="005F7C50">
              <w:rPr>
                <w:color w:val="000000" w:themeColor="text1"/>
              </w:rPr>
              <w:t>nts</w:t>
            </w:r>
            <w:r w:rsidR="00F33C6D">
              <w:rPr>
                <w:color w:val="000000" w:themeColor="text1"/>
              </w:rPr>
              <w:t xml:space="preserve"> </w:t>
            </w:r>
            <w:r w:rsidR="005F7C50">
              <w:rPr>
                <w:color w:val="000000" w:themeColor="text1"/>
              </w:rPr>
              <w:t xml:space="preserve">and issued </w:t>
            </w:r>
            <w:r w:rsidR="00F33C6D">
              <w:rPr>
                <w:color w:val="000000" w:themeColor="text1"/>
              </w:rPr>
              <w:t>on a weekly basis.</w:t>
            </w:r>
            <w:r w:rsidR="004E492D">
              <w:rPr>
                <w:color w:val="000000" w:themeColor="text1"/>
              </w:rPr>
              <w:t xml:space="preserve"> In most instances this should include 1 long acting NRT product (patches) and 1 shorter acting NRT product (nasal spray, oral spray, lozenge, </w:t>
            </w:r>
            <w:proofErr w:type="gramStart"/>
            <w:r w:rsidR="004E492D">
              <w:rPr>
                <w:color w:val="000000" w:themeColor="text1"/>
              </w:rPr>
              <w:t>gum</w:t>
            </w:r>
            <w:proofErr w:type="gramEnd"/>
            <w:r w:rsidR="004E492D">
              <w:rPr>
                <w:color w:val="000000" w:themeColor="text1"/>
              </w:rPr>
              <w:t xml:space="preserve"> or inhalator).</w:t>
            </w:r>
            <w:r w:rsidR="00F33C6D">
              <w:rPr>
                <w:color w:val="000000" w:themeColor="text1"/>
              </w:rPr>
              <w:t xml:space="preserve"> In circumstances where a client is unable to </w:t>
            </w:r>
            <w:r w:rsidR="00871C14">
              <w:rPr>
                <w:color w:val="000000" w:themeColor="text1"/>
              </w:rPr>
              <w:t>access the service weekly, for example holidays, they can be issued with a 2</w:t>
            </w:r>
            <w:r w:rsidR="00644F83">
              <w:rPr>
                <w:color w:val="000000" w:themeColor="text1"/>
              </w:rPr>
              <w:t xml:space="preserve"> -</w:t>
            </w:r>
            <w:r w:rsidR="00871C14">
              <w:rPr>
                <w:color w:val="000000" w:themeColor="text1"/>
              </w:rPr>
              <w:t xml:space="preserve"> weekly supply</w:t>
            </w:r>
            <w:r w:rsidR="00EB6CB6">
              <w:rPr>
                <w:color w:val="000000" w:themeColor="text1"/>
              </w:rPr>
              <w:t>.</w:t>
            </w:r>
            <w:r w:rsidR="00633F83">
              <w:rPr>
                <w:color w:val="000000" w:themeColor="text1"/>
              </w:rPr>
              <w:t xml:space="preserve"> This must be recorded by the pharmacist on </w:t>
            </w:r>
            <w:proofErr w:type="spellStart"/>
            <w:r w:rsidR="00F1463D">
              <w:rPr>
                <w:color w:val="000000" w:themeColor="text1"/>
              </w:rPr>
              <w:t>PharmOutcomes</w:t>
            </w:r>
            <w:proofErr w:type="spellEnd"/>
            <w:r w:rsidR="00633F83">
              <w:rPr>
                <w:color w:val="000000" w:themeColor="text1"/>
              </w:rPr>
              <w:t xml:space="preserve"> and will be reimbursed based on the current NHS</w:t>
            </w:r>
            <w:r w:rsidR="0053350D">
              <w:rPr>
                <w:color w:val="000000" w:themeColor="text1"/>
              </w:rPr>
              <w:t xml:space="preserve"> Drug</w:t>
            </w:r>
            <w:r w:rsidR="00633F83">
              <w:rPr>
                <w:color w:val="000000" w:themeColor="text1"/>
              </w:rPr>
              <w:t xml:space="preserve"> Tariff price of pharmacotherapies along with the NRT supply tariff as stated in</w:t>
            </w:r>
            <w:r w:rsidR="007A78F7">
              <w:rPr>
                <w:color w:val="000000" w:themeColor="text1"/>
              </w:rPr>
              <w:t xml:space="preserve"> </w:t>
            </w:r>
            <w:r w:rsidR="007A78F7" w:rsidRPr="007A78F7">
              <w:rPr>
                <w:b/>
                <w:bCs/>
                <w:color w:val="000000" w:themeColor="text1"/>
              </w:rPr>
              <w:t>section 1</w:t>
            </w:r>
            <w:r w:rsidR="008D489A">
              <w:rPr>
                <w:b/>
                <w:bCs/>
                <w:color w:val="000000" w:themeColor="text1"/>
              </w:rPr>
              <w:t>3</w:t>
            </w:r>
            <w:r w:rsidR="007A78F7">
              <w:rPr>
                <w:color w:val="000000" w:themeColor="text1"/>
              </w:rPr>
              <w:t>.</w:t>
            </w:r>
          </w:p>
          <w:p w14:paraId="61787F81" w14:textId="66C0566C" w:rsidR="0062344A" w:rsidRDefault="0062344A" w:rsidP="0031613A">
            <w:pPr>
              <w:tabs>
                <w:tab w:val="left" w:pos="1815"/>
              </w:tabs>
              <w:rPr>
                <w:color w:val="000000" w:themeColor="text1"/>
              </w:rPr>
            </w:pPr>
          </w:p>
          <w:p w14:paraId="7BC04FE9" w14:textId="2C558B07" w:rsidR="0062344A" w:rsidRDefault="0062344A" w:rsidP="0031613A">
            <w:pPr>
              <w:tabs>
                <w:tab w:val="left" w:pos="1815"/>
              </w:tabs>
              <w:rPr>
                <w:color w:val="000000" w:themeColor="text1"/>
              </w:rPr>
            </w:pPr>
            <w:r>
              <w:rPr>
                <w:color w:val="000000" w:themeColor="text1"/>
              </w:rPr>
              <w:t>In circumstances where, of necessity, clients are supported remotely, vouchers may be sent securely electronically to the pharmacy.</w:t>
            </w:r>
          </w:p>
          <w:p w14:paraId="1E7B089A" w14:textId="6D5422DC" w:rsidR="009410EB" w:rsidRDefault="009410EB" w:rsidP="0031613A">
            <w:pPr>
              <w:tabs>
                <w:tab w:val="left" w:pos="1815"/>
              </w:tabs>
              <w:rPr>
                <w:color w:val="000000" w:themeColor="text1"/>
              </w:rPr>
            </w:pPr>
          </w:p>
        </w:tc>
      </w:tr>
      <w:tr w:rsidR="00894250" w14:paraId="74DC9300" w14:textId="77777777" w:rsidTr="007B4DE6">
        <w:tc>
          <w:tcPr>
            <w:tcW w:w="10141" w:type="dxa"/>
            <w:shd w:val="clear" w:color="auto" w:fill="4472C4" w:themeFill="accent1"/>
          </w:tcPr>
          <w:p w14:paraId="6FF06842" w14:textId="6D5EB9B5" w:rsidR="00894250" w:rsidRPr="003C0FCE" w:rsidRDefault="00894250" w:rsidP="0031613A">
            <w:pPr>
              <w:tabs>
                <w:tab w:val="left" w:pos="1815"/>
              </w:tabs>
              <w:rPr>
                <w:color w:val="FFFFFF" w:themeColor="background1"/>
              </w:rPr>
            </w:pPr>
            <w:r w:rsidRPr="003C0FCE">
              <w:rPr>
                <w:color w:val="FFFFFF" w:themeColor="background1"/>
              </w:rPr>
              <w:t xml:space="preserve">5. Option 2: </w:t>
            </w:r>
            <w:r w:rsidR="00146D4C" w:rsidRPr="003C0FCE">
              <w:rPr>
                <w:color w:val="FFFFFF" w:themeColor="background1"/>
              </w:rPr>
              <w:t>Tier 2 Delivery of Smoking Cessation Services. – Service description</w:t>
            </w:r>
          </w:p>
        </w:tc>
      </w:tr>
      <w:tr w:rsidR="00894250" w14:paraId="534DD645" w14:textId="77777777" w:rsidTr="007B4DE6">
        <w:tc>
          <w:tcPr>
            <w:tcW w:w="10141" w:type="dxa"/>
            <w:shd w:val="clear" w:color="auto" w:fill="auto"/>
          </w:tcPr>
          <w:p w14:paraId="2207E839" w14:textId="77777777" w:rsidR="00146D4C" w:rsidRDefault="00146D4C" w:rsidP="00146D4C"/>
          <w:p w14:paraId="7FD1CFDA" w14:textId="11DA24B2" w:rsidR="00146D4C" w:rsidRDefault="00146D4C" w:rsidP="00146D4C">
            <w:r>
              <w:t>The Stop Smoking Service should be seen in the same way as any other clinical service and offered to anyone who expresses an interest in stopping smoking</w:t>
            </w:r>
            <w:r w:rsidR="00CD64D0">
              <w:t xml:space="preserve"> and who are registered with a Sefton GP.</w:t>
            </w:r>
          </w:p>
          <w:p w14:paraId="2F1FDAF4" w14:textId="77777777" w:rsidR="00146D4C" w:rsidRDefault="00146D4C" w:rsidP="00146D4C"/>
          <w:p w14:paraId="741F86BF" w14:textId="77777777" w:rsidR="00146D4C" w:rsidRDefault="00146D4C" w:rsidP="00146D4C">
            <w:r>
              <w:t>If the pharmacy advisor provides behavioural support, they must adhere to the following guidance:</w:t>
            </w:r>
          </w:p>
          <w:p w14:paraId="49D30F70" w14:textId="533C3D92" w:rsidR="2A658EED" w:rsidRDefault="2A658EED" w:rsidP="2A658EED"/>
          <w:p w14:paraId="7BFC5423" w14:textId="77777777" w:rsidR="00B64000" w:rsidRDefault="00B64000" w:rsidP="00B64000">
            <w:pPr>
              <w:pStyle w:val="ListParagraph"/>
              <w:numPr>
                <w:ilvl w:val="0"/>
                <w:numId w:val="3"/>
              </w:numPr>
              <w:spacing w:line="256" w:lineRule="auto"/>
            </w:pPr>
            <w:r>
              <w:t xml:space="preserve">All weekly treatment sessions must adhere to the guidance set by the National Centre for Smoking Cessation and Training (NCSCT) Standard Treatment Programme. </w:t>
            </w:r>
          </w:p>
          <w:p w14:paraId="1A34CB16" w14:textId="77777777" w:rsidR="00B64000" w:rsidRDefault="00000000" w:rsidP="00B64000">
            <w:pPr>
              <w:pStyle w:val="ListParagraph"/>
            </w:pPr>
            <w:hyperlink r:id="rId10" w:history="1">
              <w:r w:rsidR="00B64000" w:rsidRPr="009905A7">
                <w:rPr>
                  <w:rStyle w:val="Hyperlink"/>
                </w:rPr>
                <w:t>www.ncsct.co.uk/usr/pdf/Standard%20Treatment%20Programmepdf</w:t>
              </w:r>
            </w:hyperlink>
          </w:p>
          <w:p w14:paraId="27EF79CB" w14:textId="77777777" w:rsidR="00A71098" w:rsidRDefault="00A71098" w:rsidP="00A71098">
            <w:r>
              <w:t xml:space="preserve">            </w:t>
            </w:r>
            <w:r w:rsidR="00B64000">
              <w:t xml:space="preserve">This document outlines the length and content of each session. A payment will be paid for </w:t>
            </w:r>
            <w:proofErr w:type="gramStart"/>
            <w:r w:rsidR="00B64000">
              <w:t>each</w:t>
            </w:r>
            <w:proofErr w:type="gramEnd"/>
            <w:r>
              <w:t xml:space="preserve">         </w:t>
            </w:r>
          </w:p>
          <w:p w14:paraId="6D00BE69" w14:textId="06CD44A9" w:rsidR="00A71098" w:rsidRDefault="00A71098" w:rsidP="00A71098">
            <w:r>
              <w:t xml:space="preserve">            motivated client setting a quit date. (See section 1</w:t>
            </w:r>
            <w:r w:rsidR="008D489A">
              <w:t>3</w:t>
            </w:r>
            <w:r>
              <w:t>)</w:t>
            </w:r>
          </w:p>
          <w:p w14:paraId="599BD32A" w14:textId="5095A473" w:rsidR="00A71098" w:rsidRDefault="00A71098" w:rsidP="00A71098"/>
          <w:p w14:paraId="788151DB" w14:textId="3DF365AD" w:rsidR="00146D4C" w:rsidRDefault="00A71098" w:rsidP="00A71098">
            <w:r>
              <w:t xml:space="preserve">             </w:t>
            </w:r>
            <w:r w:rsidR="00146D4C">
              <w:t>The pharmacy must provide a private consultation area in line with the Pharmacy National contract.</w:t>
            </w:r>
          </w:p>
          <w:p w14:paraId="17BEE3BF" w14:textId="4F552D11" w:rsidR="00146D4C" w:rsidRDefault="00146D4C" w:rsidP="00B64000">
            <w:pPr>
              <w:pStyle w:val="ListParagraph"/>
              <w:numPr>
                <w:ilvl w:val="0"/>
                <w:numId w:val="3"/>
              </w:numPr>
              <w:spacing w:line="256" w:lineRule="auto"/>
            </w:pPr>
            <w:r>
              <w:lastRenderedPageBreak/>
              <w:t xml:space="preserve">Each consultation should be able to be conducted without being interrupted. The service will consist of up to a </w:t>
            </w:r>
            <w:r w:rsidRPr="00B64000">
              <w:rPr>
                <w:b/>
              </w:rPr>
              <w:t>minimum</w:t>
            </w:r>
            <w:r>
              <w:t xml:space="preserve"> of</w:t>
            </w:r>
            <w:r w:rsidRPr="00B64000">
              <w:rPr>
                <w:color w:val="FF0000"/>
              </w:rPr>
              <w:t xml:space="preserve"> </w:t>
            </w:r>
            <w:r w:rsidRPr="00B64000">
              <w:rPr>
                <w:b/>
              </w:rPr>
              <w:t>8</w:t>
            </w:r>
            <w:r>
              <w:t xml:space="preserve"> consultations with the practitioner to a </w:t>
            </w:r>
            <w:r w:rsidRPr="00B64000">
              <w:rPr>
                <w:b/>
              </w:rPr>
              <w:t>maximum</w:t>
            </w:r>
            <w:r>
              <w:t xml:space="preserve"> of </w:t>
            </w:r>
            <w:r w:rsidRPr="00B64000">
              <w:rPr>
                <w:b/>
              </w:rPr>
              <w:t>12</w:t>
            </w:r>
            <w:r>
              <w:t xml:space="preserve"> weeks. If a client requires support beyond 12- </w:t>
            </w:r>
            <w:r w:rsidR="00420DB8">
              <w:t>weeks,</w:t>
            </w:r>
            <w:r>
              <w:t xml:space="preserve"> they should be referred to Smokefree Sefton.</w:t>
            </w:r>
          </w:p>
          <w:p w14:paraId="1133CC0A" w14:textId="5BB8B26B" w:rsidR="00146D4C" w:rsidRDefault="00146D4C" w:rsidP="00146D4C">
            <w:pPr>
              <w:pStyle w:val="ListParagraph"/>
              <w:numPr>
                <w:ilvl w:val="0"/>
                <w:numId w:val="3"/>
              </w:numPr>
              <w:spacing w:line="256" w:lineRule="auto"/>
            </w:pPr>
            <w:r>
              <w:t xml:space="preserve"> This must include the recording of accurate CO validation of smoking status at every visit and a comprehensive account of the consultation content documented on</w:t>
            </w:r>
            <w:r w:rsidR="0053350D">
              <w:t xml:space="preserve"> </w:t>
            </w:r>
            <w:proofErr w:type="spellStart"/>
            <w:r w:rsidR="0053350D">
              <w:t>P</w:t>
            </w:r>
            <w:r>
              <w:t>harm</w:t>
            </w:r>
            <w:r w:rsidR="00013F98">
              <w:t>O</w:t>
            </w:r>
            <w:r>
              <w:t>utcomes</w:t>
            </w:r>
            <w:proofErr w:type="spellEnd"/>
            <w:r>
              <w:t xml:space="preserve">. Only in exceptional circumstances, and in line with national guidance should this be </w:t>
            </w:r>
            <w:r w:rsidR="0053350D">
              <w:t xml:space="preserve">delivered remotely </w:t>
            </w:r>
            <w:r>
              <w:t>in circumstances, for example a pandemic.</w:t>
            </w:r>
          </w:p>
          <w:p w14:paraId="0B275136" w14:textId="766A7291" w:rsidR="00146D4C" w:rsidRDefault="00146D4C" w:rsidP="00146D4C">
            <w:pPr>
              <w:pStyle w:val="ListParagraph"/>
              <w:numPr>
                <w:ilvl w:val="0"/>
                <w:numId w:val="3"/>
              </w:numPr>
              <w:spacing w:line="256" w:lineRule="auto"/>
            </w:pPr>
            <w:r>
              <w:t xml:space="preserve"> Any client who fails to attend a session must be followed up and encouraged to continue the programme. </w:t>
            </w:r>
            <w:r w:rsidR="00371BD0">
              <w:t>Three attempts should be made at d</w:t>
            </w:r>
            <w:r w:rsidR="009F6ECA">
              <w:t>ifferent times/ days</w:t>
            </w:r>
            <w:r w:rsidR="00D228D6">
              <w:t xml:space="preserve"> to contact the client. If</w:t>
            </w:r>
            <w:r>
              <w:t xml:space="preserve"> the client does not want to continue the reason should be </w:t>
            </w:r>
            <w:r w:rsidR="00420DB8">
              <w:t>recorded,</w:t>
            </w:r>
            <w:r>
              <w:t xml:space="preserve"> and the </w:t>
            </w:r>
            <w:r w:rsidR="00A71098">
              <w:t>client’s</w:t>
            </w:r>
            <w:r>
              <w:t xml:space="preserve"> smoking status confirmed.</w:t>
            </w:r>
            <w:r w:rsidR="003B1009">
              <w:t xml:space="preserve"> </w:t>
            </w:r>
          </w:p>
          <w:p w14:paraId="7E633338" w14:textId="77777777" w:rsidR="00146D4C" w:rsidRDefault="00146D4C" w:rsidP="00146D4C">
            <w:pPr>
              <w:pStyle w:val="ListParagraph"/>
              <w:numPr>
                <w:ilvl w:val="0"/>
                <w:numId w:val="3"/>
              </w:numPr>
              <w:spacing w:line="256" w:lineRule="auto"/>
            </w:pPr>
            <w:r>
              <w:t xml:space="preserve"> The service should be advertised in the pharmacy by prominently displaying posters and leaflets supplied by Smokefree Sefton.</w:t>
            </w:r>
          </w:p>
          <w:p w14:paraId="3EB0EACC" w14:textId="77777777" w:rsidR="00146D4C" w:rsidRDefault="00146D4C" w:rsidP="00146D4C">
            <w:pPr>
              <w:pStyle w:val="ListParagraph"/>
              <w:numPr>
                <w:ilvl w:val="0"/>
                <w:numId w:val="3"/>
              </w:numPr>
              <w:spacing w:line="256" w:lineRule="auto"/>
            </w:pPr>
            <w:r>
              <w:t>Where a client cannot be supported by the pharmacy, the client must be referred directly to Smokefree Sefton.</w:t>
            </w:r>
          </w:p>
          <w:p w14:paraId="242C6CE7" w14:textId="2BDFD950" w:rsidR="00146D4C" w:rsidRDefault="00146D4C" w:rsidP="00146D4C">
            <w:pPr>
              <w:pStyle w:val="ListParagraph"/>
              <w:numPr>
                <w:ilvl w:val="0"/>
                <w:numId w:val="3"/>
              </w:numPr>
              <w:spacing w:line="256" w:lineRule="auto"/>
            </w:pPr>
            <w:r>
              <w:t xml:space="preserve">Pregnant women should be referred to Smokefree Sefton for intensive support throughout their pregnancy and up to 3 months` post-partum, in accordance with NICE guidance </w:t>
            </w:r>
            <w:r w:rsidR="001B611A">
              <w:t>PH 209, updated PH</w:t>
            </w:r>
            <w:r w:rsidR="008D489A">
              <w:t xml:space="preserve"> 207</w:t>
            </w:r>
          </w:p>
          <w:p w14:paraId="575A96C2" w14:textId="77777777" w:rsidR="00146D4C" w:rsidRDefault="00146D4C" w:rsidP="00146D4C">
            <w:pPr>
              <w:pStyle w:val="ListParagraph"/>
              <w:numPr>
                <w:ilvl w:val="0"/>
                <w:numId w:val="3"/>
              </w:numPr>
              <w:spacing w:line="256" w:lineRule="auto"/>
            </w:pPr>
            <w:r>
              <w:t>Any client who has not stopped smoking at their</w:t>
            </w:r>
            <w:r>
              <w:rPr>
                <w:b/>
              </w:rPr>
              <w:t xml:space="preserve"> 2nd</w:t>
            </w:r>
            <w:r>
              <w:t xml:space="preserve"> weekly follow up must be reassessed for their motivation to quit and a realistic quit date set. The `not one puff` rule must be emphasised. (NCSCT guidance)</w:t>
            </w:r>
          </w:p>
          <w:p w14:paraId="49567D33" w14:textId="60B80EC8" w:rsidR="00146D4C" w:rsidRDefault="00146D4C" w:rsidP="00146D4C">
            <w:pPr>
              <w:pStyle w:val="ListParagraph"/>
              <w:numPr>
                <w:ilvl w:val="0"/>
                <w:numId w:val="3"/>
              </w:numPr>
              <w:spacing w:line="256" w:lineRule="auto"/>
            </w:pPr>
            <w:r>
              <w:t xml:space="preserve">Pharmacies may provide behavioural support to clients who are using </w:t>
            </w:r>
            <w:r w:rsidR="00A71098">
              <w:t>vape</w:t>
            </w:r>
            <w:r>
              <w:t>s to support their quit</w:t>
            </w:r>
            <w:r w:rsidR="001D0EAC">
              <w:t xml:space="preserve">. </w:t>
            </w:r>
            <w:r w:rsidR="00A71098">
              <w:t xml:space="preserve">High dose </w:t>
            </w:r>
            <w:r w:rsidR="00DA1457">
              <w:t>N</w:t>
            </w:r>
            <w:r w:rsidR="00A71098">
              <w:t>RT patch</w:t>
            </w:r>
            <w:r w:rsidR="00FF6A4F">
              <w:t xml:space="preserve"> can be issued for 4 weeks for clients who are heavily addicted along with the </w:t>
            </w:r>
            <w:r w:rsidR="00420DB8">
              <w:t>vape.</w:t>
            </w:r>
            <w:r w:rsidR="00714F99">
              <w:t xml:space="preserve"> </w:t>
            </w:r>
            <w:r w:rsidR="00A71098">
              <w:t>Vape</w:t>
            </w:r>
            <w:r w:rsidR="00EB1189">
              <w:t xml:space="preserve"> use for client</w:t>
            </w:r>
            <w:r w:rsidR="006212F0">
              <w:t>s</w:t>
            </w:r>
            <w:r w:rsidR="00EB1189">
              <w:t xml:space="preserve"> quit attempt</w:t>
            </w:r>
            <w:r w:rsidR="00D961A4">
              <w:t>s</w:t>
            </w:r>
            <w:r w:rsidR="00EB1189">
              <w:t xml:space="preserve"> must be</w:t>
            </w:r>
            <w:r w:rsidR="003636F9">
              <w:t xml:space="preserve"> documented on </w:t>
            </w:r>
            <w:proofErr w:type="spellStart"/>
            <w:r w:rsidR="003636F9">
              <w:t>PharmOutcomes</w:t>
            </w:r>
            <w:proofErr w:type="spellEnd"/>
            <w:r w:rsidR="003636F9">
              <w:t>.</w:t>
            </w:r>
          </w:p>
          <w:p w14:paraId="160DD683" w14:textId="10EEE23D" w:rsidR="00146D4C" w:rsidRDefault="00146D4C" w:rsidP="00146D4C">
            <w:pPr>
              <w:pStyle w:val="ListParagraph"/>
              <w:numPr>
                <w:ilvl w:val="0"/>
                <w:numId w:val="3"/>
              </w:numPr>
              <w:spacing w:line="256" w:lineRule="auto"/>
            </w:pPr>
            <w:r>
              <w:t>To ensure robust service validity and infection control Smokefree Sefton CO monitor protocol must be adhered to.</w:t>
            </w:r>
            <w:r w:rsidR="00ED1832">
              <w:t xml:space="preserve"> </w:t>
            </w:r>
            <w:r w:rsidR="00ED1832" w:rsidRPr="009469E1">
              <w:rPr>
                <w:b/>
                <w:bCs/>
              </w:rPr>
              <w:t>(See appendix 3)</w:t>
            </w:r>
          </w:p>
          <w:p w14:paraId="2BEB0FEC" w14:textId="6317FCFA" w:rsidR="00146D4C" w:rsidRDefault="00146D4C" w:rsidP="00146D4C">
            <w:pPr>
              <w:pStyle w:val="ListParagraph"/>
              <w:numPr>
                <w:ilvl w:val="0"/>
                <w:numId w:val="3"/>
              </w:numPr>
              <w:spacing w:line="256" w:lineRule="auto"/>
            </w:pPr>
            <w:r>
              <w:t xml:space="preserve">An advisor who is planning a period of leave must not start a new client on a Stop Smoking programme unless there is another qualified advisor </w:t>
            </w:r>
            <w:r w:rsidR="00917732">
              <w:t xml:space="preserve">in the pharmacy </w:t>
            </w:r>
            <w:r>
              <w:t>to support the client in their absence.</w:t>
            </w:r>
            <w:r w:rsidR="00917732">
              <w:t xml:space="preserve"> If the client chooses to be supported in a pharmacy the client may be referred to an alternative pharmacy.</w:t>
            </w:r>
            <w:r w:rsidR="006212F0">
              <w:t xml:space="preserve"> </w:t>
            </w:r>
            <w:r>
              <w:t>In circumstances</w:t>
            </w:r>
            <w:r w:rsidR="006212F0">
              <w:t xml:space="preserve"> such as staff unplanned absence</w:t>
            </w:r>
            <w:r>
              <w:t>, the client should be referred to Smokefree Sefton</w:t>
            </w:r>
            <w:r w:rsidR="006212F0">
              <w:t xml:space="preserve"> for follow up support. A quit attempt should also not be started with a client immediately prior to planned events such as holidays where they will not be able to engage with the service during the most important time of the quit attempt.</w:t>
            </w:r>
          </w:p>
          <w:p w14:paraId="559BB2D0" w14:textId="354C593D" w:rsidR="00146D4C" w:rsidRDefault="00146D4C" w:rsidP="009469E1">
            <w:pPr>
              <w:pStyle w:val="ListParagraph"/>
              <w:numPr>
                <w:ilvl w:val="0"/>
                <w:numId w:val="3"/>
              </w:numPr>
              <w:spacing w:line="256" w:lineRule="auto"/>
            </w:pPr>
            <w:r>
              <w:t xml:space="preserve">When a client has completed an episode of care (a quit attempt) the advisor must </w:t>
            </w:r>
            <w:r>
              <w:rPr>
                <w:b/>
              </w:rPr>
              <w:t>immediately</w:t>
            </w:r>
            <w:r>
              <w:t xml:space="preserve"> update the client records on </w:t>
            </w:r>
            <w:proofErr w:type="spellStart"/>
            <w:r w:rsidR="00013F98">
              <w:t>P</w:t>
            </w:r>
            <w:r>
              <w:t>harm</w:t>
            </w:r>
            <w:r w:rsidR="00013F98">
              <w:t>O</w:t>
            </w:r>
            <w:r>
              <w:t>utcomes</w:t>
            </w:r>
            <w:proofErr w:type="spellEnd"/>
            <w:r w:rsidR="009469E1">
              <w:t>.</w:t>
            </w:r>
          </w:p>
          <w:p w14:paraId="5127BA7D" w14:textId="3C6041C0" w:rsidR="00146D4C" w:rsidRDefault="00146D4C" w:rsidP="00146D4C">
            <w:pPr>
              <w:spacing w:line="256" w:lineRule="auto"/>
            </w:pPr>
            <w:r>
              <w:t xml:space="preserve">Payment for this service is indicated in </w:t>
            </w:r>
            <w:r w:rsidRPr="007A78F7">
              <w:rPr>
                <w:b/>
                <w:bCs/>
              </w:rPr>
              <w:t xml:space="preserve">section </w:t>
            </w:r>
            <w:r w:rsidR="00420DB8" w:rsidRPr="007A78F7">
              <w:rPr>
                <w:b/>
                <w:bCs/>
              </w:rPr>
              <w:t>1</w:t>
            </w:r>
            <w:r w:rsidR="008D489A">
              <w:rPr>
                <w:b/>
                <w:bCs/>
              </w:rPr>
              <w:t>3</w:t>
            </w:r>
            <w:r w:rsidR="00420DB8" w:rsidRPr="007A78F7">
              <w:rPr>
                <w:b/>
                <w:bCs/>
              </w:rPr>
              <w:t>.</w:t>
            </w:r>
          </w:p>
          <w:p w14:paraId="7C2A40F2" w14:textId="77777777" w:rsidR="00146D4C" w:rsidRDefault="00146D4C" w:rsidP="00146D4C">
            <w:r>
              <w:t>Stop Smoking Service should be seen in the same way as any other clinical service and offered to anyone who expresses an interest in stopping smoking.</w:t>
            </w:r>
          </w:p>
          <w:p w14:paraId="58DDE2AC" w14:textId="51A986CB" w:rsidR="00894250" w:rsidRPr="00146D4C" w:rsidRDefault="00894250" w:rsidP="00146D4C">
            <w:pPr>
              <w:spacing w:line="256" w:lineRule="auto"/>
              <w:rPr>
                <w:color w:val="000000" w:themeColor="text1"/>
              </w:rPr>
            </w:pPr>
          </w:p>
        </w:tc>
      </w:tr>
      <w:tr w:rsidR="004A0539" w14:paraId="273BF62C" w14:textId="77777777" w:rsidTr="007B4DE6">
        <w:tc>
          <w:tcPr>
            <w:tcW w:w="10141" w:type="dxa"/>
            <w:shd w:val="clear" w:color="auto" w:fill="4472C4" w:themeFill="accent1"/>
          </w:tcPr>
          <w:p w14:paraId="4EC6446D" w14:textId="2BB095F1" w:rsidR="004A0539" w:rsidRPr="005D46CD" w:rsidRDefault="00A97D9D" w:rsidP="0031613A">
            <w:pPr>
              <w:rPr>
                <w:color w:val="FFFFFF" w:themeColor="background1"/>
              </w:rPr>
            </w:pPr>
            <w:r w:rsidRPr="005D46CD">
              <w:rPr>
                <w:color w:val="FFFFFF" w:themeColor="background1"/>
              </w:rPr>
              <w:lastRenderedPageBreak/>
              <w:t>6</w:t>
            </w:r>
            <w:r w:rsidR="00F73345" w:rsidRPr="005D46CD">
              <w:rPr>
                <w:color w:val="FFFFFF" w:themeColor="background1"/>
              </w:rPr>
              <w:t>.</w:t>
            </w:r>
            <w:r w:rsidR="002C2F61" w:rsidRPr="005D46CD">
              <w:rPr>
                <w:color w:val="FFFFFF" w:themeColor="background1"/>
              </w:rPr>
              <w:t xml:space="preserve">1 </w:t>
            </w:r>
            <w:r w:rsidR="004A0539" w:rsidRPr="005D46CD">
              <w:rPr>
                <w:color w:val="FFFFFF" w:themeColor="background1"/>
              </w:rPr>
              <w:t>Client follow up</w:t>
            </w:r>
            <w:r w:rsidR="00E02BE6" w:rsidRPr="005D46CD">
              <w:rPr>
                <w:color w:val="FFFFFF" w:themeColor="background1"/>
              </w:rPr>
              <w:t xml:space="preserve"> (Option 2)</w:t>
            </w:r>
          </w:p>
        </w:tc>
      </w:tr>
      <w:tr w:rsidR="004A0539" w14:paraId="544689B2" w14:textId="77777777" w:rsidTr="007B4DE6">
        <w:tc>
          <w:tcPr>
            <w:tcW w:w="10141" w:type="dxa"/>
          </w:tcPr>
          <w:p w14:paraId="41FD4D11" w14:textId="77777777" w:rsidR="004A0539" w:rsidRPr="00BD2ABE" w:rsidRDefault="004A0539" w:rsidP="004A0539">
            <w:pPr>
              <w:rPr>
                <w:b/>
                <w:sz w:val="24"/>
                <w:szCs w:val="24"/>
              </w:rPr>
            </w:pPr>
          </w:p>
          <w:p w14:paraId="2D826DA1" w14:textId="05356E1F" w:rsidR="004A0539" w:rsidRDefault="004A0539" w:rsidP="004A0539">
            <w:r w:rsidRPr="00502292">
              <w:t>Clients are required to be followed up at 12</w:t>
            </w:r>
            <w:r>
              <w:t>-</w:t>
            </w:r>
            <w:r w:rsidRPr="00502292">
              <w:t xml:space="preserve"> week after th</w:t>
            </w:r>
            <w:r>
              <w:t>eir quit date by the pharmacy advisor.</w:t>
            </w:r>
            <w:r w:rsidR="00420DB8">
              <w:t xml:space="preserve"> (Option 2 only). </w:t>
            </w:r>
            <w:r w:rsidR="001B51A9">
              <w:t xml:space="preserve">Clients should be encouraged to complete a course of </w:t>
            </w:r>
            <w:r w:rsidR="0075523F">
              <w:t>NRT or continue support when using their own vape (NCP)a</w:t>
            </w:r>
            <w:r w:rsidR="00FF6A4F">
              <w:t>nd</w:t>
            </w:r>
            <w:r w:rsidR="001F0747">
              <w:t xml:space="preserve"> therefore should see the advisor </w:t>
            </w:r>
            <w:r w:rsidR="00256E63">
              <w:t>at the</w:t>
            </w:r>
            <w:r w:rsidR="00420DB8">
              <w:t>ir 4 and</w:t>
            </w:r>
            <w:r w:rsidR="00256E63">
              <w:t xml:space="preserve"> 12-week quit status.</w:t>
            </w:r>
            <w:r w:rsidR="0075523F">
              <w:t xml:space="preserve"> </w:t>
            </w:r>
            <w:r w:rsidR="00256E63">
              <w:t>Where this is not possible</w:t>
            </w:r>
            <w:r w:rsidR="00B92EA7">
              <w:t xml:space="preserve"> to</w:t>
            </w:r>
            <w:r>
              <w:t xml:space="preserve"> be carried out</w:t>
            </w:r>
            <w:r w:rsidR="00716962">
              <w:t xml:space="preserve">, quit status </w:t>
            </w:r>
            <w:r w:rsidR="00420DB8">
              <w:t xml:space="preserve">at the 4 and </w:t>
            </w:r>
            <w:r w:rsidR="00716962">
              <w:t xml:space="preserve">12 weeks could </w:t>
            </w:r>
            <w:r w:rsidR="009E14F8">
              <w:t xml:space="preserve">be verified </w:t>
            </w:r>
            <w:r>
              <w:t xml:space="preserve">via a telephone call to </w:t>
            </w:r>
            <w:r w:rsidR="009E14F8">
              <w:t>the client.</w:t>
            </w:r>
            <w:r>
              <w:t xml:space="preserve"> There </w:t>
            </w:r>
            <w:r>
              <w:lastRenderedPageBreak/>
              <w:t xml:space="preserve">should be a minimum of 3 attempts to do this. </w:t>
            </w:r>
            <w:r w:rsidR="00FF2CC2">
              <w:t>Where st</w:t>
            </w:r>
            <w:r w:rsidR="008D68BA">
              <w:t xml:space="preserve">atus at 12 weeks is not established, payment for 12 week quit status </w:t>
            </w:r>
            <w:r w:rsidR="007E3353">
              <w:t xml:space="preserve">cannot be made as the client will </w:t>
            </w:r>
            <w:r w:rsidR="0057724F">
              <w:t>be deemed as lost to follow</w:t>
            </w:r>
            <w:r w:rsidR="006823AD">
              <w:t>.</w:t>
            </w:r>
          </w:p>
          <w:p w14:paraId="7FB474E7" w14:textId="77777777" w:rsidR="004A0539" w:rsidRDefault="004A0539" w:rsidP="004A0539"/>
          <w:p w14:paraId="6A6CBD5A" w14:textId="77777777" w:rsidR="004A2558" w:rsidRDefault="004A0539" w:rsidP="00E02138">
            <w:r>
              <w:t xml:space="preserve">Clients will also be required to be followed up at 25 weeks and 52 weeks respectively by </w:t>
            </w:r>
            <w:r w:rsidR="00F14C3C">
              <w:t>Smokefree Sefton</w:t>
            </w:r>
            <w:r>
              <w:t xml:space="preserve">. Clients should be made aware they will be contacted by the Smokefree </w:t>
            </w:r>
            <w:r w:rsidR="00F14C3C">
              <w:t>Sefton</w:t>
            </w:r>
            <w:r>
              <w:t xml:space="preserve">. </w:t>
            </w:r>
          </w:p>
          <w:p w14:paraId="7D95B62B" w14:textId="77777777" w:rsidR="0075523F" w:rsidRDefault="0075523F" w:rsidP="00E02138"/>
          <w:p w14:paraId="40623E06" w14:textId="4E8927A9" w:rsidR="0075523F" w:rsidRDefault="0075523F" w:rsidP="00E02138">
            <w:r>
              <w:t>When supporting clients using their own vapes, they must be advised that the vapes should comply to national regulations and that pre-filled vapes should contain no more than 600 puffs.</w:t>
            </w:r>
          </w:p>
          <w:p w14:paraId="7DF8FE73" w14:textId="43A34A78" w:rsidR="0057724F" w:rsidRDefault="0057724F" w:rsidP="00E02138"/>
        </w:tc>
      </w:tr>
      <w:tr w:rsidR="0031613A" w14:paraId="7BBF4428" w14:textId="77777777" w:rsidTr="007B4DE6">
        <w:tc>
          <w:tcPr>
            <w:tcW w:w="10141" w:type="dxa"/>
            <w:shd w:val="clear" w:color="auto" w:fill="4472C4" w:themeFill="accent1"/>
          </w:tcPr>
          <w:p w14:paraId="42BA2F8E" w14:textId="2A424DBC" w:rsidR="0031613A" w:rsidRPr="005D46CD" w:rsidRDefault="00C34B75" w:rsidP="0031613A">
            <w:pPr>
              <w:rPr>
                <w:color w:val="FFFFFF" w:themeColor="background1"/>
              </w:rPr>
            </w:pPr>
            <w:r w:rsidRPr="005D46CD">
              <w:rPr>
                <w:color w:val="FFFFFF" w:themeColor="background1"/>
              </w:rPr>
              <w:lastRenderedPageBreak/>
              <w:t xml:space="preserve"> </w:t>
            </w:r>
            <w:r w:rsidR="00A97D9D" w:rsidRPr="005D46CD">
              <w:rPr>
                <w:color w:val="FFFFFF" w:themeColor="background1"/>
              </w:rPr>
              <w:t>6</w:t>
            </w:r>
            <w:r w:rsidR="00F73345" w:rsidRPr="005D46CD">
              <w:rPr>
                <w:color w:val="FFFFFF" w:themeColor="background1"/>
              </w:rPr>
              <w:t>.</w:t>
            </w:r>
            <w:r w:rsidR="002C2F61" w:rsidRPr="005D46CD">
              <w:rPr>
                <w:color w:val="FFFFFF" w:themeColor="background1"/>
              </w:rPr>
              <w:t>2</w:t>
            </w:r>
            <w:r w:rsidR="006D51A2" w:rsidRPr="005D46CD">
              <w:rPr>
                <w:color w:val="FFFFFF" w:themeColor="background1"/>
              </w:rPr>
              <w:t xml:space="preserve"> Key Performance indicators</w:t>
            </w:r>
            <w:r w:rsidR="00E02BE6" w:rsidRPr="005D46CD">
              <w:rPr>
                <w:color w:val="FFFFFF" w:themeColor="background1"/>
              </w:rPr>
              <w:t xml:space="preserve"> Option 2</w:t>
            </w:r>
          </w:p>
        </w:tc>
      </w:tr>
      <w:tr w:rsidR="006D51A2" w14:paraId="2F0AA788" w14:textId="77777777" w:rsidTr="007B4DE6">
        <w:tc>
          <w:tcPr>
            <w:tcW w:w="10141" w:type="dxa"/>
          </w:tcPr>
          <w:p w14:paraId="163AEABB" w14:textId="7CEF8CFC" w:rsidR="006D51A2" w:rsidRPr="0075523F" w:rsidRDefault="006D51A2" w:rsidP="006D51A2">
            <w:pPr>
              <w:tabs>
                <w:tab w:val="left" w:pos="2190"/>
              </w:tabs>
              <w:rPr>
                <w:b/>
                <w:color w:val="FFFFFF" w:themeColor="background1"/>
              </w:rPr>
            </w:pPr>
            <w:r w:rsidRPr="0075523F">
              <w:rPr>
                <w:b/>
                <w:color w:val="FFFFFF" w:themeColor="background1"/>
              </w:rPr>
              <w:tab/>
            </w:r>
          </w:p>
          <w:p w14:paraId="4F2E46A6" w14:textId="5C445A78" w:rsidR="006944E4" w:rsidRPr="006D7710" w:rsidRDefault="006D51A2" w:rsidP="006944E4">
            <w:pPr>
              <w:rPr>
                <w:bCs/>
              </w:rPr>
            </w:pPr>
            <w:r w:rsidRPr="0075523F">
              <w:rPr>
                <w:bCs/>
                <w:color w:val="FFFFFF" w:themeColor="background1"/>
              </w:rPr>
              <w:t xml:space="preserve">              </w:t>
            </w:r>
            <w:r w:rsidR="006944E4" w:rsidRPr="006D7710">
              <w:rPr>
                <w:bCs/>
              </w:rPr>
              <w:t>In line with national guidance to ensure confidence and competencies are</w:t>
            </w:r>
          </w:p>
          <w:p w14:paraId="3D5932EF" w14:textId="77777777" w:rsidR="006944E4" w:rsidRPr="006D7710" w:rsidRDefault="006944E4" w:rsidP="006944E4">
            <w:pPr>
              <w:rPr>
                <w:bCs/>
              </w:rPr>
            </w:pPr>
            <w:r w:rsidRPr="006D7710">
              <w:rPr>
                <w:bCs/>
              </w:rPr>
              <w:t xml:space="preserve">              maintained, </w:t>
            </w:r>
            <w:r w:rsidRPr="0054528F">
              <w:rPr>
                <w:b/>
                <w:color w:val="FF0000"/>
              </w:rPr>
              <w:t>all individual</w:t>
            </w:r>
            <w:r w:rsidRPr="0054528F">
              <w:rPr>
                <w:bCs/>
                <w:color w:val="FF0000"/>
              </w:rPr>
              <w:t xml:space="preserve"> </w:t>
            </w:r>
            <w:r w:rsidRPr="006D7710">
              <w:rPr>
                <w:bCs/>
              </w:rPr>
              <w:t xml:space="preserve">staff will assist no less than </w:t>
            </w:r>
            <w:r>
              <w:rPr>
                <w:bCs/>
              </w:rPr>
              <w:t>2</w:t>
            </w:r>
            <w:r w:rsidRPr="006D7710">
              <w:rPr>
                <w:bCs/>
              </w:rPr>
              <w:t xml:space="preserve">0 clients to stop </w:t>
            </w:r>
            <w:proofErr w:type="gramStart"/>
            <w:r w:rsidRPr="006D7710">
              <w:rPr>
                <w:bCs/>
              </w:rPr>
              <w:t>smoking</w:t>
            </w:r>
            <w:proofErr w:type="gramEnd"/>
          </w:p>
          <w:p w14:paraId="2203D27E" w14:textId="77777777" w:rsidR="006944E4" w:rsidRPr="006D7710" w:rsidRDefault="006944E4" w:rsidP="006944E4">
            <w:pPr>
              <w:rPr>
                <w:bCs/>
              </w:rPr>
            </w:pPr>
            <w:r w:rsidRPr="006D7710">
              <w:rPr>
                <w:bCs/>
              </w:rPr>
              <w:t xml:space="preserve">              annually. These clients may not reach quit status.</w:t>
            </w:r>
            <w:r>
              <w:rPr>
                <w:bCs/>
              </w:rPr>
              <w:t xml:space="preserve"> (NCSCT)</w:t>
            </w:r>
          </w:p>
          <w:p w14:paraId="612DFDD3" w14:textId="2B1CCFFA" w:rsidR="006944E4" w:rsidRPr="0075523F" w:rsidRDefault="006D51A2" w:rsidP="006D51A2">
            <w:pPr>
              <w:rPr>
                <w:bCs/>
                <w:color w:val="FFFFFF" w:themeColor="background1"/>
              </w:rPr>
            </w:pPr>
            <w:r w:rsidRPr="0075523F">
              <w:rPr>
                <w:bCs/>
                <w:color w:val="FFFFFF" w:themeColor="background1"/>
              </w:rPr>
              <w:t xml:space="preserve">l guidance to ensure confidence and competencies </w:t>
            </w:r>
            <w:proofErr w:type="spellStart"/>
            <w:r w:rsidRPr="0075523F">
              <w:rPr>
                <w:b/>
                <w:color w:val="FFFFFF" w:themeColor="background1"/>
              </w:rPr>
              <w:t>ll</w:t>
            </w:r>
            <w:proofErr w:type="spellEnd"/>
            <w:r w:rsidRPr="0075523F">
              <w:rPr>
                <w:b/>
                <w:color w:val="FFFFFF" w:themeColor="background1"/>
              </w:rPr>
              <w:t xml:space="preserve"> individual</w:t>
            </w:r>
            <w:r w:rsidRPr="0075523F">
              <w:rPr>
                <w:bCs/>
                <w:color w:val="FFFFFF" w:themeColor="background1"/>
              </w:rPr>
              <w:t xml:space="preserve"> staff will assist </w:t>
            </w:r>
            <w:r w:rsidRPr="0075523F">
              <w:rPr>
                <w:bCs/>
                <w:color w:val="FFFFFF" w:themeColor="background1"/>
                <w:shd w:val="clear" w:color="auto" w:fill="FFFFFF" w:themeFill="background1"/>
              </w:rPr>
              <w:t xml:space="preserve">no less than </w:t>
            </w:r>
            <w:r w:rsidR="00EA5E53" w:rsidRPr="0075523F">
              <w:rPr>
                <w:bCs/>
                <w:color w:val="FFFFFF" w:themeColor="background1"/>
                <w:shd w:val="clear" w:color="auto" w:fill="FFFFFF" w:themeFill="background1"/>
              </w:rPr>
              <w:t>2</w:t>
            </w:r>
            <w:r w:rsidRPr="0075523F">
              <w:rPr>
                <w:bCs/>
                <w:color w:val="FFFFFF" w:themeColor="background1"/>
                <w:shd w:val="clear" w:color="auto" w:fill="FFFFFF" w:themeFill="background1"/>
              </w:rPr>
              <w:t xml:space="preserve">0 clients to </w:t>
            </w:r>
            <w:r w:rsidRPr="0075523F">
              <w:rPr>
                <w:bCs/>
                <w:color w:val="FFFFFF" w:themeColor="background1"/>
              </w:rPr>
              <w:t>These clients may not r</w:t>
            </w:r>
          </w:p>
          <w:tbl>
            <w:tblPr>
              <w:tblStyle w:val="TableGrid"/>
              <w:tblW w:w="0" w:type="auto"/>
              <w:tblInd w:w="720" w:type="dxa"/>
              <w:tblLook w:val="04A0" w:firstRow="1" w:lastRow="0" w:firstColumn="1" w:lastColumn="0" w:noHBand="0" w:noVBand="1"/>
            </w:tblPr>
            <w:tblGrid>
              <w:gridCol w:w="2185"/>
              <w:gridCol w:w="2124"/>
              <w:gridCol w:w="2055"/>
            </w:tblGrid>
            <w:tr w:rsidR="006944E4" w14:paraId="78AB03AD" w14:textId="77777777" w:rsidTr="006944E4">
              <w:tc>
                <w:tcPr>
                  <w:tcW w:w="2185" w:type="dxa"/>
                  <w:tcBorders>
                    <w:top w:val="single" w:sz="4" w:space="0" w:color="auto"/>
                    <w:left w:val="single" w:sz="4" w:space="0" w:color="auto"/>
                    <w:bottom w:val="single" w:sz="4" w:space="0" w:color="auto"/>
                    <w:right w:val="single" w:sz="4" w:space="0" w:color="auto"/>
                  </w:tcBorders>
                  <w:hideMark/>
                </w:tcPr>
                <w:p w14:paraId="3C6F76FA" w14:textId="77777777" w:rsidR="006944E4" w:rsidRDefault="006944E4" w:rsidP="006944E4">
                  <w:pPr>
                    <w:pStyle w:val="ListParagraph"/>
                    <w:ind w:left="0"/>
                    <w:rPr>
                      <w:b/>
                    </w:rPr>
                  </w:pPr>
                  <w:r>
                    <w:rPr>
                      <w:b/>
                    </w:rPr>
                    <w:t>Performance indicator</w:t>
                  </w:r>
                </w:p>
              </w:tc>
              <w:tc>
                <w:tcPr>
                  <w:tcW w:w="2124" w:type="dxa"/>
                  <w:tcBorders>
                    <w:top w:val="single" w:sz="4" w:space="0" w:color="auto"/>
                    <w:left w:val="single" w:sz="4" w:space="0" w:color="auto"/>
                    <w:bottom w:val="single" w:sz="4" w:space="0" w:color="auto"/>
                    <w:right w:val="single" w:sz="4" w:space="0" w:color="auto"/>
                  </w:tcBorders>
                  <w:hideMark/>
                </w:tcPr>
                <w:p w14:paraId="1B343362" w14:textId="77777777" w:rsidR="006944E4" w:rsidRDefault="006944E4" w:rsidP="006944E4">
                  <w:pPr>
                    <w:pStyle w:val="ListParagraph"/>
                    <w:ind w:left="0"/>
                    <w:rPr>
                      <w:b/>
                    </w:rPr>
                  </w:pPr>
                  <w:r>
                    <w:rPr>
                      <w:b/>
                    </w:rPr>
                    <w:t>Indicator</w:t>
                  </w:r>
                </w:p>
              </w:tc>
              <w:tc>
                <w:tcPr>
                  <w:tcW w:w="2055" w:type="dxa"/>
                  <w:tcBorders>
                    <w:top w:val="single" w:sz="4" w:space="0" w:color="auto"/>
                    <w:left w:val="single" w:sz="4" w:space="0" w:color="auto"/>
                    <w:bottom w:val="single" w:sz="4" w:space="0" w:color="auto"/>
                    <w:right w:val="single" w:sz="4" w:space="0" w:color="auto"/>
                  </w:tcBorders>
                  <w:hideMark/>
                </w:tcPr>
                <w:p w14:paraId="3CA3F2EB" w14:textId="77777777" w:rsidR="006944E4" w:rsidRDefault="006944E4" w:rsidP="006944E4">
                  <w:pPr>
                    <w:pStyle w:val="ListParagraph"/>
                    <w:ind w:left="0"/>
                    <w:rPr>
                      <w:b/>
                    </w:rPr>
                  </w:pPr>
                  <w:r>
                    <w:rPr>
                      <w:b/>
                    </w:rPr>
                    <w:t>Threshold</w:t>
                  </w:r>
                </w:p>
              </w:tc>
            </w:tr>
            <w:tr w:rsidR="006944E4" w14:paraId="114BC65F" w14:textId="77777777" w:rsidTr="006944E4">
              <w:tc>
                <w:tcPr>
                  <w:tcW w:w="2185" w:type="dxa"/>
                  <w:tcBorders>
                    <w:top w:val="single" w:sz="4" w:space="0" w:color="auto"/>
                    <w:left w:val="single" w:sz="4" w:space="0" w:color="auto"/>
                    <w:bottom w:val="single" w:sz="4" w:space="0" w:color="auto"/>
                    <w:right w:val="single" w:sz="4" w:space="0" w:color="auto"/>
                  </w:tcBorders>
                  <w:hideMark/>
                </w:tcPr>
                <w:p w14:paraId="53B8E9AD" w14:textId="77777777" w:rsidR="006944E4" w:rsidRDefault="006944E4" w:rsidP="006944E4">
                  <w:pPr>
                    <w:pStyle w:val="ListParagraph"/>
                    <w:ind w:left="0"/>
                  </w:pPr>
                  <w:r>
                    <w:t>CO validation</w:t>
                  </w:r>
                </w:p>
              </w:tc>
              <w:tc>
                <w:tcPr>
                  <w:tcW w:w="2124" w:type="dxa"/>
                  <w:tcBorders>
                    <w:top w:val="single" w:sz="4" w:space="0" w:color="auto"/>
                    <w:left w:val="single" w:sz="4" w:space="0" w:color="auto"/>
                    <w:bottom w:val="single" w:sz="4" w:space="0" w:color="auto"/>
                    <w:right w:val="single" w:sz="4" w:space="0" w:color="auto"/>
                  </w:tcBorders>
                  <w:hideMark/>
                </w:tcPr>
                <w:p w14:paraId="77E965FD" w14:textId="77777777" w:rsidR="006944E4" w:rsidRDefault="006944E4" w:rsidP="006944E4">
                  <w:pPr>
                    <w:pStyle w:val="ListParagraph"/>
                    <w:ind w:left="0"/>
                  </w:pPr>
                  <w:r>
                    <w:t>The percentage of clients whose smoking status was self- reported.</w:t>
                  </w:r>
                </w:p>
              </w:tc>
              <w:tc>
                <w:tcPr>
                  <w:tcW w:w="2055" w:type="dxa"/>
                  <w:tcBorders>
                    <w:top w:val="single" w:sz="4" w:space="0" w:color="auto"/>
                    <w:left w:val="single" w:sz="4" w:space="0" w:color="auto"/>
                    <w:bottom w:val="single" w:sz="4" w:space="0" w:color="auto"/>
                    <w:right w:val="single" w:sz="4" w:space="0" w:color="auto"/>
                  </w:tcBorders>
                </w:tcPr>
                <w:p w14:paraId="4FFA9A70" w14:textId="77777777" w:rsidR="006944E4" w:rsidRDefault="006944E4" w:rsidP="006944E4">
                  <w:pPr>
                    <w:pStyle w:val="ListParagraph"/>
                    <w:ind w:left="0"/>
                  </w:pPr>
                </w:p>
                <w:p w14:paraId="5C039A85" w14:textId="77777777" w:rsidR="006944E4" w:rsidRDefault="006944E4" w:rsidP="006944E4">
                  <w:pPr>
                    <w:pStyle w:val="ListParagraph"/>
                    <w:ind w:left="0"/>
                  </w:pPr>
                  <w:r>
                    <w:t>No more than 15%</w:t>
                  </w:r>
                </w:p>
              </w:tc>
            </w:tr>
            <w:tr w:rsidR="006944E4" w14:paraId="457945C9" w14:textId="77777777" w:rsidTr="006944E4">
              <w:tc>
                <w:tcPr>
                  <w:tcW w:w="2185" w:type="dxa"/>
                  <w:tcBorders>
                    <w:top w:val="single" w:sz="4" w:space="0" w:color="auto"/>
                    <w:left w:val="single" w:sz="4" w:space="0" w:color="auto"/>
                    <w:bottom w:val="single" w:sz="4" w:space="0" w:color="auto"/>
                    <w:right w:val="single" w:sz="4" w:space="0" w:color="auto"/>
                  </w:tcBorders>
                  <w:hideMark/>
                </w:tcPr>
                <w:p w14:paraId="2305ED20" w14:textId="77777777" w:rsidR="006944E4" w:rsidRDefault="006944E4" w:rsidP="006944E4">
                  <w:pPr>
                    <w:pStyle w:val="ListParagraph"/>
                    <w:ind w:left="0"/>
                  </w:pPr>
                  <w:r>
                    <w:t xml:space="preserve">CO validation by CO monitoring </w:t>
                  </w:r>
                </w:p>
              </w:tc>
              <w:tc>
                <w:tcPr>
                  <w:tcW w:w="2124" w:type="dxa"/>
                  <w:tcBorders>
                    <w:top w:val="single" w:sz="4" w:space="0" w:color="auto"/>
                    <w:left w:val="single" w:sz="4" w:space="0" w:color="auto"/>
                    <w:bottom w:val="single" w:sz="4" w:space="0" w:color="auto"/>
                    <w:right w:val="single" w:sz="4" w:space="0" w:color="auto"/>
                  </w:tcBorders>
                  <w:hideMark/>
                </w:tcPr>
                <w:p w14:paraId="3566AA76" w14:textId="77777777" w:rsidR="006944E4" w:rsidRDefault="006944E4" w:rsidP="006944E4">
                  <w:pPr>
                    <w:pStyle w:val="ListParagraph"/>
                    <w:ind w:left="0"/>
                  </w:pPr>
                  <w:r>
                    <w:t>The percentage of clients whose smoking status is quality assured by CO validation</w:t>
                  </w:r>
                </w:p>
              </w:tc>
              <w:tc>
                <w:tcPr>
                  <w:tcW w:w="2055" w:type="dxa"/>
                  <w:tcBorders>
                    <w:top w:val="single" w:sz="4" w:space="0" w:color="auto"/>
                    <w:left w:val="single" w:sz="4" w:space="0" w:color="auto"/>
                    <w:bottom w:val="single" w:sz="4" w:space="0" w:color="auto"/>
                    <w:right w:val="single" w:sz="4" w:space="0" w:color="auto"/>
                  </w:tcBorders>
                </w:tcPr>
                <w:p w14:paraId="3EA62F6F" w14:textId="77777777" w:rsidR="006944E4" w:rsidRDefault="006944E4" w:rsidP="006944E4">
                  <w:pPr>
                    <w:pStyle w:val="ListParagraph"/>
                    <w:ind w:left="0"/>
                  </w:pPr>
                </w:p>
                <w:p w14:paraId="08768281" w14:textId="77777777" w:rsidR="006944E4" w:rsidRDefault="006944E4" w:rsidP="006944E4">
                  <w:pPr>
                    <w:pStyle w:val="ListParagraph"/>
                    <w:ind w:left="0"/>
                  </w:pPr>
                  <w:r>
                    <w:t>Target aim 85%</w:t>
                  </w:r>
                </w:p>
              </w:tc>
            </w:tr>
            <w:tr w:rsidR="006944E4" w14:paraId="737988EA" w14:textId="77777777" w:rsidTr="006944E4">
              <w:tc>
                <w:tcPr>
                  <w:tcW w:w="2185" w:type="dxa"/>
                  <w:tcBorders>
                    <w:top w:val="single" w:sz="4" w:space="0" w:color="auto"/>
                    <w:left w:val="single" w:sz="4" w:space="0" w:color="auto"/>
                    <w:bottom w:val="single" w:sz="4" w:space="0" w:color="auto"/>
                    <w:right w:val="single" w:sz="4" w:space="0" w:color="auto"/>
                  </w:tcBorders>
                </w:tcPr>
                <w:p w14:paraId="58770F54" w14:textId="77777777" w:rsidR="006944E4" w:rsidRDefault="006944E4" w:rsidP="006944E4">
                  <w:pPr>
                    <w:pStyle w:val="ListParagraph"/>
                    <w:ind w:left="0"/>
                  </w:pPr>
                </w:p>
                <w:p w14:paraId="6A93E527" w14:textId="77777777" w:rsidR="006944E4" w:rsidRDefault="006944E4" w:rsidP="006944E4">
                  <w:pPr>
                    <w:pStyle w:val="ListParagraph"/>
                    <w:ind w:left="0"/>
                  </w:pPr>
                </w:p>
                <w:p w14:paraId="46CAE8A0" w14:textId="77777777" w:rsidR="006944E4" w:rsidRDefault="006944E4" w:rsidP="006944E4">
                  <w:pPr>
                    <w:pStyle w:val="ListParagraph"/>
                    <w:ind w:left="0"/>
                  </w:pPr>
                  <w:r>
                    <w:t>4 week quit rates</w:t>
                  </w:r>
                </w:p>
              </w:tc>
              <w:tc>
                <w:tcPr>
                  <w:tcW w:w="2124" w:type="dxa"/>
                  <w:tcBorders>
                    <w:top w:val="single" w:sz="4" w:space="0" w:color="auto"/>
                    <w:left w:val="single" w:sz="4" w:space="0" w:color="auto"/>
                    <w:bottom w:val="single" w:sz="4" w:space="0" w:color="auto"/>
                    <w:right w:val="single" w:sz="4" w:space="0" w:color="auto"/>
                  </w:tcBorders>
                </w:tcPr>
                <w:p w14:paraId="6BD8493E" w14:textId="0B636218" w:rsidR="006944E4" w:rsidRDefault="006944E4" w:rsidP="006944E4">
                  <w:pPr>
                    <w:pStyle w:val="ListParagraph"/>
                    <w:ind w:left="0"/>
                  </w:pPr>
                  <w:r>
                    <w:t>Number of clients successfully quit at 4 weeks as a percentage of those eligible for 4-week follow up.</w:t>
                  </w:r>
                </w:p>
              </w:tc>
              <w:tc>
                <w:tcPr>
                  <w:tcW w:w="2055" w:type="dxa"/>
                  <w:tcBorders>
                    <w:top w:val="single" w:sz="4" w:space="0" w:color="auto"/>
                    <w:left w:val="single" w:sz="4" w:space="0" w:color="auto"/>
                    <w:bottom w:val="single" w:sz="4" w:space="0" w:color="auto"/>
                    <w:right w:val="single" w:sz="4" w:space="0" w:color="auto"/>
                  </w:tcBorders>
                </w:tcPr>
                <w:p w14:paraId="637EB9D8" w14:textId="77777777" w:rsidR="006944E4" w:rsidRDefault="006944E4" w:rsidP="006944E4">
                  <w:pPr>
                    <w:pStyle w:val="ListParagraph"/>
                    <w:ind w:left="0"/>
                  </w:pPr>
                </w:p>
                <w:p w14:paraId="0FAC8A15" w14:textId="77777777" w:rsidR="006944E4" w:rsidRDefault="006944E4" w:rsidP="006944E4">
                  <w:pPr>
                    <w:pStyle w:val="ListParagraph"/>
                    <w:ind w:left="0"/>
                  </w:pPr>
                </w:p>
                <w:p w14:paraId="693A0FB5" w14:textId="77777777" w:rsidR="006944E4" w:rsidRDefault="006944E4" w:rsidP="006944E4">
                  <w:pPr>
                    <w:pStyle w:val="ListParagraph"/>
                    <w:ind w:left="0"/>
                  </w:pPr>
                  <w:r>
                    <w:t>Target aim 45%</w:t>
                  </w:r>
                </w:p>
              </w:tc>
            </w:tr>
            <w:tr w:rsidR="006944E4" w14:paraId="3F159120" w14:textId="77777777" w:rsidTr="006944E4">
              <w:tc>
                <w:tcPr>
                  <w:tcW w:w="2185" w:type="dxa"/>
                  <w:tcBorders>
                    <w:top w:val="single" w:sz="4" w:space="0" w:color="auto"/>
                    <w:left w:val="single" w:sz="4" w:space="0" w:color="auto"/>
                    <w:bottom w:val="single" w:sz="4" w:space="0" w:color="auto"/>
                    <w:right w:val="single" w:sz="4" w:space="0" w:color="auto"/>
                  </w:tcBorders>
                  <w:hideMark/>
                </w:tcPr>
                <w:p w14:paraId="18866402" w14:textId="77777777" w:rsidR="006944E4" w:rsidRDefault="006944E4" w:rsidP="006944E4">
                  <w:pPr>
                    <w:pStyle w:val="ListParagraph"/>
                    <w:ind w:left="0"/>
                  </w:pPr>
                  <w:r>
                    <w:t>The number of clients LTF</w:t>
                  </w:r>
                </w:p>
              </w:tc>
              <w:tc>
                <w:tcPr>
                  <w:tcW w:w="2124" w:type="dxa"/>
                  <w:tcBorders>
                    <w:top w:val="single" w:sz="4" w:space="0" w:color="auto"/>
                    <w:left w:val="single" w:sz="4" w:space="0" w:color="auto"/>
                    <w:bottom w:val="single" w:sz="4" w:space="0" w:color="auto"/>
                    <w:right w:val="single" w:sz="4" w:space="0" w:color="auto"/>
                  </w:tcBorders>
                  <w:hideMark/>
                </w:tcPr>
                <w:p w14:paraId="76B762E3" w14:textId="77777777" w:rsidR="006944E4" w:rsidRDefault="006944E4" w:rsidP="006944E4">
                  <w:pPr>
                    <w:pStyle w:val="ListParagraph"/>
                    <w:ind w:left="0"/>
                  </w:pPr>
                  <w:r>
                    <w:t>The number of clients deemed as lost to follow, after 3 contact attempts have been made at different times / days.</w:t>
                  </w:r>
                </w:p>
              </w:tc>
              <w:tc>
                <w:tcPr>
                  <w:tcW w:w="2055" w:type="dxa"/>
                  <w:tcBorders>
                    <w:top w:val="single" w:sz="4" w:space="0" w:color="auto"/>
                    <w:left w:val="single" w:sz="4" w:space="0" w:color="auto"/>
                    <w:bottom w:val="single" w:sz="4" w:space="0" w:color="auto"/>
                    <w:right w:val="single" w:sz="4" w:space="0" w:color="auto"/>
                  </w:tcBorders>
                </w:tcPr>
                <w:p w14:paraId="74598736" w14:textId="77777777" w:rsidR="006944E4" w:rsidRDefault="006944E4" w:rsidP="006944E4">
                  <w:pPr>
                    <w:pStyle w:val="ListParagraph"/>
                    <w:ind w:left="0"/>
                  </w:pPr>
                </w:p>
                <w:p w14:paraId="29A5206C" w14:textId="77777777" w:rsidR="006944E4" w:rsidRDefault="006944E4" w:rsidP="006944E4">
                  <w:pPr>
                    <w:pStyle w:val="ListParagraph"/>
                    <w:ind w:left="0"/>
                  </w:pPr>
                </w:p>
                <w:p w14:paraId="3ED9A82D" w14:textId="77777777" w:rsidR="006944E4" w:rsidRDefault="006944E4" w:rsidP="006944E4">
                  <w:pPr>
                    <w:pStyle w:val="ListParagraph"/>
                    <w:ind w:left="0"/>
                  </w:pPr>
                  <w:r>
                    <w:t>Target no more than 15%</w:t>
                  </w:r>
                </w:p>
              </w:tc>
            </w:tr>
            <w:tr w:rsidR="006944E4" w14:paraId="0BD65BCE" w14:textId="77777777" w:rsidTr="006944E4">
              <w:tc>
                <w:tcPr>
                  <w:tcW w:w="2185" w:type="dxa"/>
                  <w:tcBorders>
                    <w:top w:val="single" w:sz="4" w:space="0" w:color="auto"/>
                    <w:left w:val="single" w:sz="4" w:space="0" w:color="auto"/>
                    <w:bottom w:val="single" w:sz="4" w:space="0" w:color="auto"/>
                    <w:right w:val="single" w:sz="4" w:space="0" w:color="auto"/>
                  </w:tcBorders>
                  <w:hideMark/>
                </w:tcPr>
                <w:p w14:paraId="396D5D1B" w14:textId="77777777" w:rsidR="006944E4" w:rsidRDefault="006944E4" w:rsidP="006944E4">
                  <w:pPr>
                    <w:pStyle w:val="ListParagraph"/>
                    <w:ind w:left="0"/>
                  </w:pPr>
                  <w:r>
                    <w:t>Client feedback</w:t>
                  </w:r>
                </w:p>
              </w:tc>
              <w:tc>
                <w:tcPr>
                  <w:tcW w:w="2124" w:type="dxa"/>
                  <w:tcBorders>
                    <w:top w:val="single" w:sz="4" w:space="0" w:color="auto"/>
                    <w:left w:val="single" w:sz="4" w:space="0" w:color="auto"/>
                    <w:bottom w:val="single" w:sz="4" w:space="0" w:color="auto"/>
                    <w:right w:val="single" w:sz="4" w:space="0" w:color="auto"/>
                  </w:tcBorders>
                </w:tcPr>
                <w:p w14:paraId="33999E8A" w14:textId="77777777" w:rsidR="006944E4" w:rsidRDefault="006944E4" w:rsidP="006944E4">
                  <w:pPr>
                    <w:pStyle w:val="ListParagraph"/>
                    <w:ind w:left="0"/>
                  </w:pPr>
                  <w:r>
                    <w:t>The service will seek client feedback.</w:t>
                  </w:r>
                </w:p>
                <w:p w14:paraId="2763E3C9" w14:textId="77777777" w:rsidR="006944E4" w:rsidRDefault="006944E4" w:rsidP="006944E4">
                  <w:pPr>
                    <w:pStyle w:val="ListParagraph"/>
                    <w:ind w:left="0"/>
                  </w:pPr>
                </w:p>
              </w:tc>
              <w:tc>
                <w:tcPr>
                  <w:tcW w:w="2055" w:type="dxa"/>
                  <w:tcBorders>
                    <w:top w:val="single" w:sz="4" w:space="0" w:color="auto"/>
                    <w:left w:val="single" w:sz="4" w:space="0" w:color="auto"/>
                    <w:bottom w:val="single" w:sz="4" w:space="0" w:color="auto"/>
                    <w:right w:val="single" w:sz="4" w:space="0" w:color="auto"/>
                  </w:tcBorders>
                </w:tcPr>
                <w:p w14:paraId="3E264CB8" w14:textId="77777777" w:rsidR="006944E4" w:rsidRDefault="006944E4" w:rsidP="006944E4">
                  <w:pPr>
                    <w:pStyle w:val="ListParagraph"/>
                    <w:ind w:left="0"/>
                  </w:pPr>
                  <w:r>
                    <w:t>Feedback from 95% of clients</w:t>
                  </w:r>
                </w:p>
                <w:p w14:paraId="5E59F93F" w14:textId="77777777" w:rsidR="006944E4" w:rsidRDefault="006944E4" w:rsidP="006944E4">
                  <w:pPr>
                    <w:pStyle w:val="ListParagraph"/>
                    <w:ind w:left="0"/>
                  </w:pPr>
                  <w:r>
                    <w:t>(This will be sourced by Smokefree Sefton)</w:t>
                  </w:r>
                </w:p>
                <w:p w14:paraId="3CBBCDE3" w14:textId="77777777" w:rsidR="006944E4" w:rsidRDefault="006944E4" w:rsidP="006944E4">
                  <w:pPr>
                    <w:pStyle w:val="ListParagraph"/>
                    <w:ind w:left="0"/>
                  </w:pPr>
                </w:p>
              </w:tc>
            </w:tr>
          </w:tbl>
          <w:p w14:paraId="1F682BE4" w14:textId="152B067A" w:rsidR="006944E4" w:rsidRDefault="006944E4" w:rsidP="006944E4">
            <w:pPr>
              <w:rPr>
                <w:rFonts w:ascii="Arial" w:hAnsi="Arial" w:cs="Arial"/>
                <w:b/>
                <w:i/>
                <w:sz w:val="20"/>
                <w:szCs w:val="20"/>
              </w:rPr>
            </w:pPr>
            <w:r w:rsidRPr="006C0096">
              <w:rPr>
                <w:rFonts w:ascii="Arial" w:hAnsi="Arial" w:cs="Arial"/>
                <w:b/>
                <w:i/>
                <w:sz w:val="20"/>
                <w:szCs w:val="20"/>
              </w:rPr>
              <w:lastRenderedPageBreak/>
              <w:t>The definition of a quitter is a client who meets the requirements identified in line with the Russell Standards</w:t>
            </w:r>
            <w:r>
              <w:rPr>
                <w:rFonts w:ascii="Arial" w:hAnsi="Arial" w:cs="Arial"/>
                <w:b/>
                <w:i/>
                <w:sz w:val="20"/>
                <w:szCs w:val="20"/>
              </w:rPr>
              <w:t xml:space="preserve"> (NCSCT)</w:t>
            </w:r>
          </w:p>
          <w:p w14:paraId="791ED628" w14:textId="7A688E9C" w:rsidR="00204A89" w:rsidRPr="006944E4" w:rsidRDefault="006D51A2" w:rsidP="006D51A2">
            <w:pPr>
              <w:rPr>
                <w:rFonts w:ascii="Arial" w:hAnsi="Arial" w:cs="Arial"/>
                <w:b/>
                <w:i/>
                <w:color w:val="FFFFFF" w:themeColor="background1"/>
                <w:sz w:val="20"/>
                <w:szCs w:val="20"/>
              </w:rPr>
            </w:pPr>
            <w:r w:rsidRPr="0075523F">
              <w:rPr>
                <w:rFonts w:ascii="Arial" w:hAnsi="Arial" w:cs="Arial"/>
                <w:b/>
                <w:i/>
                <w:color w:val="FFFFFF" w:themeColor="background1"/>
                <w:sz w:val="20"/>
                <w:szCs w:val="20"/>
              </w:rPr>
              <w:t>client who meets the requirements identified in line with the Russell St</w:t>
            </w:r>
          </w:p>
        </w:tc>
      </w:tr>
      <w:tr w:rsidR="006D51A2" w14:paraId="2874B44B" w14:textId="77777777" w:rsidTr="007B4DE6">
        <w:tc>
          <w:tcPr>
            <w:tcW w:w="10141" w:type="dxa"/>
            <w:shd w:val="clear" w:color="auto" w:fill="4472C4" w:themeFill="accent1"/>
          </w:tcPr>
          <w:p w14:paraId="2E9F1851" w14:textId="3E36BEDA" w:rsidR="006D51A2" w:rsidRPr="0075523F" w:rsidRDefault="00A97D9D" w:rsidP="006D51A2">
            <w:pPr>
              <w:rPr>
                <w:color w:val="FFFFFF" w:themeColor="background1"/>
              </w:rPr>
            </w:pPr>
            <w:r w:rsidRPr="0075523F">
              <w:rPr>
                <w:color w:val="FFFFFF" w:themeColor="background1"/>
              </w:rPr>
              <w:lastRenderedPageBreak/>
              <w:t>6</w:t>
            </w:r>
            <w:r w:rsidR="006944E4">
              <w:rPr>
                <w:color w:val="FFFFFF" w:themeColor="background1"/>
              </w:rPr>
              <w:t>.</w:t>
            </w:r>
            <w:r w:rsidR="002C2F61" w:rsidRPr="0075523F">
              <w:rPr>
                <w:color w:val="FFFFFF" w:themeColor="background1"/>
              </w:rPr>
              <w:t xml:space="preserve">3 </w:t>
            </w:r>
            <w:r w:rsidR="006D51A2" w:rsidRPr="0075523F">
              <w:rPr>
                <w:color w:val="FFFFFF" w:themeColor="background1"/>
              </w:rPr>
              <w:t>Access to the service</w:t>
            </w:r>
            <w:r w:rsidR="00420DB8" w:rsidRPr="0075523F">
              <w:rPr>
                <w:color w:val="FFFFFF" w:themeColor="background1"/>
              </w:rPr>
              <w:t xml:space="preserve"> (Option 2)</w:t>
            </w:r>
          </w:p>
        </w:tc>
      </w:tr>
      <w:tr w:rsidR="006D51A2" w14:paraId="37FA8BFF" w14:textId="77777777" w:rsidTr="007B4DE6">
        <w:tc>
          <w:tcPr>
            <w:tcW w:w="10141" w:type="dxa"/>
          </w:tcPr>
          <w:p w14:paraId="0885BE9F" w14:textId="77777777" w:rsidR="00C34B75" w:rsidRPr="00C34B75" w:rsidRDefault="00C34B75" w:rsidP="00C34B75">
            <w:pPr>
              <w:spacing w:line="256" w:lineRule="auto"/>
              <w:rPr>
                <w:rFonts w:ascii="Calibri" w:eastAsia="Calibri" w:hAnsi="Calibri" w:cs="Times New Roman"/>
              </w:rPr>
            </w:pPr>
            <w:r w:rsidRPr="00C34B75">
              <w:rPr>
                <w:rFonts w:ascii="Calibri" w:eastAsia="Calibri" w:hAnsi="Calibri" w:cs="Times New Roman"/>
                <w:b/>
              </w:rPr>
              <w:t>Inclusion of clients using Nicotine Replacement Therapy (NRT)</w:t>
            </w:r>
          </w:p>
          <w:p w14:paraId="0DEE836D" w14:textId="77777777" w:rsidR="00C34B75" w:rsidRPr="00C34B75" w:rsidRDefault="00C34B75" w:rsidP="00C34B75">
            <w:pPr>
              <w:spacing w:line="256" w:lineRule="auto"/>
              <w:rPr>
                <w:rFonts w:ascii="Calibri" w:eastAsia="Calibri" w:hAnsi="Calibri" w:cs="Times New Roman"/>
              </w:rPr>
            </w:pPr>
            <w:r w:rsidRPr="00C34B75">
              <w:rPr>
                <w:rFonts w:ascii="Calibri" w:eastAsia="Calibri" w:hAnsi="Calibri" w:cs="Times New Roman"/>
              </w:rPr>
              <w:t>There should no barriers to the service</w:t>
            </w:r>
          </w:p>
          <w:p w14:paraId="12349FC7" w14:textId="77777777" w:rsidR="00C34B75" w:rsidRPr="00C34B75" w:rsidRDefault="00C34B75" w:rsidP="00C34B75">
            <w:pPr>
              <w:numPr>
                <w:ilvl w:val="0"/>
                <w:numId w:val="26"/>
              </w:numPr>
              <w:spacing w:line="256" w:lineRule="auto"/>
              <w:contextualSpacing/>
              <w:rPr>
                <w:rFonts w:ascii="Calibri" w:eastAsia="Calibri" w:hAnsi="Calibri" w:cs="Times New Roman"/>
              </w:rPr>
            </w:pPr>
            <w:r w:rsidRPr="00C34B75">
              <w:rPr>
                <w:rFonts w:ascii="Calibri" w:eastAsia="Calibri" w:hAnsi="Calibri" w:cs="Times New Roman"/>
              </w:rPr>
              <w:t>Clients may be referred by any health professional.</w:t>
            </w:r>
          </w:p>
          <w:p w14:paraId="07E24B18" w14:textId="77777777" w:rsidR="00C34B75" w:rsidRPr="00C34B75" w:rsidRDefault="00C34B75" w:rsidP="00C34B75">
            <w:pPr>
              <w:numPr>
                <w:ilvl w:val="0"/>
                <w:numId w:val="26"/>
              </w:numPr>
              <w:spacing w:line="256" w:lineRule="auto"/>
              <w:contextualSpacing/>
              <w:rPr>
                <w:rFonts w:ascii="Calibri" w:eastAsia="Calibri" w:hAnsi="Calibri" w:cs="Times New Roman"/>
              </w:rPr>
            </w:pPr>
            <w:r w:rsidRPr="00C34B75">
              <w:rPr>
                <w:rFonts w:ascii="Calibri" w:eastAsia="Calibri" w:hAnsi="Calibri" w:cs="Times New Roman"/>
              </w:rPr>
              <w:t>Clients may self- refer.</w:t>
            </w:r>
          </w:p>
          <w:p w14:paraId="0F679B3C" w14:textId="77777777" w:rsidR="00C34B75" w:rsidRPr="00C34B75" w:rsidRDefault="00C34B75" w:rsidP="00C34B75">
            <w:pPr>
              <w:numPr>
                <w:ilvl w:val="0"/>
                <w:numId w:val="26"/>
              </w:numPr>
              <w:spacing w:line="256" w:lineRule="auto"/>
              <w:contextualSpacing/>
              <w:rPr>
                <w:rFonts w:ascii="Calibri" w:eastAsia="Calibri" w:hAnsi="Calibri" w:cs="Times New Roman"/>
              </w:rPr>
            </w:pPr>
            <w:r w:rsidRPr="00C34B75">
              <w:rPr>
                <w:rFonts w:ascii="Calibri" w:eastAsia="Calibri" w:hAnsi="Calibri" w:cs="Times New Roman"/>
              </w:rPr>
              <w:t xml:space="preserve">Clients who are already attempting to quit by using NRT or other nicotine containing products and need extra support and guidance. </w:t>
            </w:r>
          </w:p>
          <w:p w14:paraId="14BAF32A" w14:textId="77777777" w:rsidR="00C34B75" w:rsidRPr="00C34B75" w:rsidRDefault="00C34B75" w:rsidP="00C34B75">
            <w:pPr>
              <w:numPr>
                <w:ilvl w:val="0"/>
                <w:numId w:val="26"/>
              </w:numPr>
              <w:spacing w:line="256" w:lineRule="auto"/>
              <w:contextualSpacing/>
              <w:rPr>
                <w:rFonts w:ascii="Calibri" w:eastAsia="Calibri" w:hAnsi="Calibri" w:cs="Times New Roman"/>
              </w:rPr>
            </w:pPr>
            <w:r w:rsidRPr="00C34B75">
              <w:rPr>
                <w:rFonts w:ascii="Calibri" w:eastAsia="Calibri" w:hAnsi="Calibri" w:cs="Times New Roman"/>
              </w:rPr>
              <w:t>Clients who live, work or are registered with a GP in Sefton</w:t>
            </w:r>
          </w:p>
          <w:p w14:paraId="630F45BB" w14:textId="77777777" w:rsidR="00C34B75" w:rsidRPr="00C34B75" w:rsidRDefault="00C34B75" w:rsidP="00C34B75">
            <w:pPr>
              <w:numPr>
                <w:ilvl w:val="0"/>
                <w:numId w:val="26"/>
              </w:numPr>
              <w:spacing w:line="256" w:lineRule="auto"/>
              <w:contextualSpacing/>
              <w:rPr>
                <w:rFonts w:ascii="Calibri" w:eastAsia="Calibri" w:hAnsi="Calibri" w:cs="Times New Roman"/>
              </w:rPr>
            </w:pPr>
            <w:r w:rsidRPr="00C34B75">
              <w:rPr>
                <w:rFonts w:ascii="Calibri" w:eastAsia="Calibri" w:hAnsi="Calibri" w:cs="Times New Roman"/>
              </w:rPr>
              <w:t xml:space="preserve">Clients who, because of medical treatment programmes, need to speedy access the service. </w:t>
            </w:r>
          </w:p>
          <w:p w14:paraId="5BF30EF8" w14:textId="77777777" w:rsidR="00C34B75" w:rsidRPr="00C34B75" w:rsidRDefault="00C34B75" w:rsidP="00C34B75">
            <w:pPr>
              <w:spacing w:line="256" w:lineRule="auto"/>
              <w:rPr>
                <w:rFonts w:ascii="Calibri" w:eastAsia="Calibri" w:hAnsi="Calibri" w:cs="Times New Roman"/>
                <w:b/>
              </w:rPr>
            </w:pPr>
          </w:p>
          <w:p w14:paraId="1692197C" w14:textId="77777777" w:rsidR="00C34B75" w:rsidRPr="00C34B75" w:rsidRDefault="00C34B75" w:rsidP="00C34B75">
            <w:pPr>
              <w:spacing w:line="256" w:lineRule="auto"/>
              <w:rPr>
                <w:rFonts w:ascii="Calibri" w:eastAsia="Calibri" w:hAnsi="Calibri" w:cs="Times New Roman"/>
                <w:b/>
              </w:rPr>
            </w:pPr>
            <w:r w:rsidRPr="00C34B75">
              <w:rPr>
                <w:rFonts w:ascii="Calibri" w:eastAsia="Calibri" w:hAnsi="Calibri" w:cs="Times New Roman"/>
                <w:b/>
              </w:rPr>
              <w:t>Exclusion clients using NRT.</w:t>
            </w:r>
          </w:p>
          <w:p w14:paraId="7DE87845" w14:textId="77777777" w:rsidR="00C34B75" w:rsidRPr="00C34B75" w:rsidRDefault="00C34B75" w:rsidP="00C34B75">
            <w:pPr>
              <w:numPr>
                <w:ilvl w:val="0"/>
                <w:numId w:val="27"/>
              </w:numPr>
              <w:spacing w:line="256" w:lineRule="auto"/>
              <w:contextualSpacing/>
              <w:rPr>
                <w:rFonts w:ascii="Calibri" w:eastAsia="Calibri" w:hAnsi="Calibri" w:cs="Times New Roman"/>
              </w:rPr>
            </w:pPr>
            <w:r w:rsidRPr="00C34B75">
              <w:rPr>
                <w:rFonts w:ascii="Calibri" w:eastAsia="Calibri" w:hAnsi="Calibri" w:cs="Times New Roman"/>
              </w:rPr>
              <w:t xml:space="preserve">Children under the age of 16 years must be referred Smokefree Sefton to ensure compliance with Gillick competencies. </w:t>
            </w:r>
          </w:p>
          <w:p w14:paraId="5A5AE12E" w14:textId="77777777" w:rsidR="00C34B75" w:rsidRPr="00C34B75" w:rsidRDefault="00C34B75" w:rsidP="00C34B75">
            <w:pPr>
              <w:numPr>
                <w:ilvl w:val="0"/>
                <w:numId w:val="27"/>
              </w:numPr>
              <w:spacing w:line="256" w:lineRule="auto"/>
              <w:contextualSpacing/>
              <w:rPr>
                <w:rFonts w:ascii="Calibri" w:eastAsia="Calibri" w:hAnsi="Calibri" w:cs="Times New Roman"/>
              </w:rPr>
            </w:pPr>
            <w:r w:rsidRPr="00C34B75">
              <w:rPr>
                <w:rFonts w:ascii="Calibri" w:eastAsia="Calibri" w:hAnsi="Calibri" w:cs="Times New Roman"/>
              </w:rPr>
              <w:t>People who do not live or work in Sefton can be referred to their local Stop Smoking Service.</w:t>
            </w:r>
          </w:p>
          <w:p w14:paraId="6B7D9420" w14:textId="77777777" w:rsidR="00C34B75" w:rsidRPr="00C34B75" w:rsidRDefault="00C34B75" w:rsidP="00C34B75">
            <w:pPr>
              <w:numPr>
                <w:ilvl w:val="0"/>
                <w:numId w:val="27"/>
              </w:numPr>
              <w:spacing w:line="256" w:lineRule="auto"/>
              <w:contextualSpacing/>
              <w:rPr>
                <w:rFonts w:ascii="Calibri" w:eastAsia="Calibri" w:hAnsi="Calibri" w:cs="Times New Roman"/>
              </w:rPr>
            </w:pPr>
            <w:r w:rsidRPr="00C34B75">
              <w:rPr>
                <w:rFonts w:ascii="Calibri" w:eastAsia="Calibri" w:hAnsi="Calibri" w:cs="Times New Roman"/>
              </w:rPr>
              <w:t>Smokers with complex issues where the pharmacy advisor feels the client needs the intensive support provided by the specialist service.</w:t>
            </w:r>
          </w:p>
          <w:p w14:paraId="4BA8777A" w14:textId="111E2883" w:rsidR="00C34B75" w:rsidRPr="00C34B75" w:rsidRDefault="00C34B75" w:rsidP="00C34B75">
            <w:pPr>
              <w:numPr>
                <w:ilvl w:val="0"/>
                <w:numId w:val="27"/>
              </w:numPr>
              <w:spacing w:line="256" w:lineRule="auto"/>
              <w:contextualSpacing/>
              <w:rPr>
                <w:rFonts w:ascii="Calibri" w:eastAsia="Calibri" w:hAnsi="Calibri" w:cs="Times New Roman"/>
              </w:rPr>
            </w:pPr>
            <w:r w:rsidRPr="00C34B75">
              <w:rPr>
                <w:rFonts w:ascii="Calibri" w:eastAsia="Calibri" w:hAnsi="Calibri" w:cs="Times New Roman"/>
              </w:rPr>
              <w:t>Clients who have had m</w:t>
            </w:r>
            <w:r w:rsidR="008D489A">
              <w:rPr>
                <w:rFonts w:ascii="Calibri" w:eastAsia="Calibri" w:hAnsi="Calibri" w:cs="Times New Roman"/>
              </w:rPr>
              <w:t>ore than 2</w:t>
            </w:r>
            <w:r w:rsidRPr="00C34B75">
              <w:rPr>
                <w:rFonts w:ascii="Calibri" w:eastAsia="Calibri" w:hAnsi="Calibri" w:cs="Times New Roman"/>
              </w:rPr>
              <w:t xml:space="preserve"> quit attempts</w:t>
            </w:r>
            <w:r w:rsidR="008D489A">
              <w:rPr>
                <w:rFonts w:ascii="Calibri" w:eastAsia="Calibri" w:hAnsi="Calibri" w:cs="Times New Roman"/>
              </w:rPr>
              <w:t xml:space="preserve"> in one year</w:t>
            </w:r>
            <w:r w:rsidRPr="00C34B75">
              <w:rPr>
                <w:rFonts w:ascii="Calibri" w:eastAsia="Calibri" w:hAnsi="Calibri" w:cs="Times New Roman"/>
              </w:rPr>
              <w:t xml:space="preserve"> should be referred to Smokefree Sefton.</w:t>
            </w:r>
          </w:p>
          <w:p w14:paraId="18FC53DF" w14:textId="77777777" w:rsidR="00C34B75" w:rsidRPr="00C34B75" w:rsidRDefault="00C34B75" w:rsidP="00C34B75">
            <w:pPr>
              <w:spacing w:line="256" w:lineRule="auto"/>
              <w:ind w:left="765"/>
              <w:contextualSpacing/>
              <w:rPr>
                <w:rFonts w:ascii="Calibri" w:eastAsia="Calibri" w:hAnsi="Calibri" w:cs="Times New Roman"/>
                <w:b/>
                <w:bCs/>
                <w:color w:val="FF0000"/>
              </w:rPr>
            </w:pPr>
            <w:r w:rsidRPr="00C34B75">
              <w:rPr>
                <w:rFonts w:ascii="Calibri" w:eastAsia="Calibri" w:hAnsi="Calibri" w:cs="Times New Roman"/>
                <w:b/>
                <w:bCs/>
                <w:color w:val="FF0000"/>
              </w:rPr>
              <w:t>Tel. 0300 100 1000</w:t>
            </w:r>
          </w:p>
          <w:p w14:paraId="232A4F9B" w14:textId="77777777" w:rsidR="00C34B75" w:rsidRPr="00C34B75" w:rsidRDefault="00C34B75" w:rsidP="00C34B75">
            <w:pPr>
              <w:numPr>
                <w:ilvl w:val="0"/>
                <w:numId w:val="27"/>
              </w:numPr>
              <w:spacing w:line="256" w:lineRule="auto"/>
              <w:contextualSpacing/>
              <w:rPr>
                <w:rFonts w:ascii="Calibri" w:eastAsia="Calibri" w:hAnsi="Calibri" w:cs="Times New Roman"/>
              </w:rPr>
            </w:pPr>
            <w:r w:rsidRPr="00C34B75">
              <w:rPr>
                <w:rFonts w:ascii="Calibri" w:eastAsia="Calibri" w:hAnsi="Calibri" w:cs="Times New Roman"/>
              </w:rPr>
              <w:t>Clients who have medical conditions where the use of NRT is not appropriate.</w:t>
            </w:r>
          </w:p>
          <w:p w14:paraId="293CACA0" w14:textId="77777777" w:rsidR="00C34B75" w:rsidRPr="00C34B75" w:rsidRDefault="00C34B75" w:rsidP="00C34B75">
            <w:pPr>
              <w:numPr>
                <w:ilvl w:val="0"/>
                <w:numId w:val="27"/>
              </w:numPr>
              <w:spacing w:line="256" w:lineRule="auto"/>
              <w:contextualSpacing/>
              <w:rPr>
                <w:rFonts w:ascii="Calibri" w:eastAsia="Calibri" w:hAnsi="Calibri" w:cs="Times New Roman"/>
              </w:rPr>
            </w:pPr>
            <w:r w:rsidRPr="00C34B75">
              <w:rPr>
                <w:rFonts w:ascii="Calibri" w:eastAsia="Calibri" w:hAnsi="Calibri" w:cs="Times New Roman"/>
              </w:rPr>
              <w:t>Pregnant and breastfeeding women.</w:t>
            </w:r>
          </w:p>
          <w:p w14:paraId="388411DD" w14:textId="77777777" w:rsidR="0075523F" w:rsidRDefault="00C34B75" w:rsidP="00C34B75">
            <w:pPr>
              <w:spacing w:line="256" w:lineRule="auto"/>
              <w:contextualSpacing/>
              <w:rPr>
                <w:rFonts w:ascii="Calibri" w:eastAsia="Calibri" w:hAnsi="Calibri" w:cs="Times New Roman"/>
              </w:rPr>
            </w:pPr>
            <w:r w:rsidRPr="00C34B75">
              <w:rPr>
                <w:rFonts w:ascii="Calibri" w:eastAsia="Calibri" w:hAnsi="Calibri" w:cs="Times New Roman"/>
              </w:rPr>
              <w:t xml:space="preserve"> </w:t>
            </w:r>
          </w:p>
          <w:p w14:paraId="7CBDE78F" w14:textId="0B618DA8" w:rsidR="00C34B75" w:rsidRPr="0075523F" w:rsidRDefault="00C34B75" w:rsidP="00C34B75">
            <w:pPr>
              <w:spacing w:line="256" w:lineRule="auto"/>
              <w:contextualSpacing/>
              <w:rPr>
                <w:rFonts w:ascii="Calibri" w:eastAsia="Calibri" w:hAnsi="Calibri" w:cs="Times New Roman"/>
              </w:rPr>
            </w:pPr>
            <w:r w:rsidRPr="00C34B75">
              <w:rPr>
                <w:rFonts w:ascii="Calibri" w:eastAsia="Calibri" w:hAnsi="Calibri" w:cs="Times New Roman"/>
                <w:b/>
                <w:bCs/>
              </w:rPr>
              <w:t>Respon</w:t>
            </w:r>
            <w:r w:rsidR="0075523F">
              <w:rPr>
                <w:rFonts w:ascii="Calibri" w:eastAsia="Calibri" w:hAnsi="Calibri" w:cs="Times New Roman"/>
                <w:b/>
                <w:bCs/>
              </w:rPr>
              <w:t>s</w:t>
            </w:r>
            <w:r w:rsidRPr="00C34B75">
              <w:rPr>
                <w:rFonts w:ascii="Calibri" w:eastAsia="Calibri" w:hAnsi="Calibri" w:cs="Times New Roman"/>
                <w:b/>
                <w:bCs/>
              </w:rPr>
              <w:t>e time:</w:t>
            </w:r>
          </w:p>
          <w:p w14:paraId="1C695E40" w14:textId="7067CFCD" w:rsidR="00C34B75" w:rsidRPr="00C34B75" w:rsidRDefault="00C34B75" w:rsidP="00C34B75">
            <w:pPr>
              <w:spacing w:line="256" w:lineRule="auto"/>
              <w:rPr>
                <w:rFonts w:ascii="Calibri" w:eastAsia="Calibri" w:hAnsi="Calibri" w:cs="Times New Roman"/>
              </w:rPr>
            </w:pPr>
            <w:r w:rsidRPr="00C34B75">
              <w:rPr>
                <w:rFonts w:ascii="Calibri" w:eastAsia="Calibri" w:hAnsi="Calibri" w:cs="Times New Roman"/>
              </w:rPr>
              <w:t xml:space="preserve">It is essential that the service is reactive to need and therefore clients must be contacted within </w:t>
            </w:r>
            <w:r w:rsidR="001273B8">
              <w:rPr>
                <w:rFonts w:ascii="Calibri" w:eastAsia="Calibri" w:hAnsi="Calibri" w:cs="Times New Roman"/>
              </w:rPr>
              <w:t xml:space="preserve">2 </w:t>
            </w:r>
            <w:r w:rsidRPr="00C34B75">
              <w:rPr>
                <w:rFonts w:ascii="Calibri" w:eastAsia="Calibri" w:hAnsi="Calibri" w:cs="Times New Roman"/>
              </w:rPr>
              <w:t>working day</w:t>
            </w:r>
            <w:r w:rsidR="001273B8">
              <w:rPr>
                <w:rFonts w:ascii="Calibri" w:eastAsia="Calibri" w:hAnsi="Calibri" w:cs="Times New Roman"/>
              </w:rPr>
              <w:t>s</w:t>
            </w:r>
            <w:r w:rsidRPr="00C34B75">
              <w:rPr>
                <w:rFonts w:ascii="Calibri" w:eastAsia="Calibri" w:hAnsi="Calibri" w:cs="Times New Roman"/>
              </w:rPr>
              <w:t xml:space="preserve"> on receipt of the referral and seen within 5 working days. When this timeframe cannot be met the client must be referred to Smokefree Sefton. </w:t>
            </w:r>
            <w:r w:rsidRPr="00C34B75">
              <w:rPr>
                <w:rFonts w:ascii="Calibri" w:eastAsia="Calibri" w:hAnsi="Calibri" w:cs="Times New Roman"/>
                <w:b/>
                <w:bCs/>
                <w:color w:val="FF0000"/>
              </w:rPr>
              <w:t>Tel. 0300 100 1000</w:t>
            </w:r>
          </w:p>
          <w:p w14:paraId="11517620" w14:textId="77777777" w:rsidR="00C34B75" w:rsidRPr="00C34B75" w:rsidRDefault="00C34B75" w:rsidP="00C34B75">
            <w:pPr>
              <w:spacing w:line="256" w:lineRule="auto"/>
              <w:rPr>
                <w:rFonts w:ascii="Calibri" w:eastAsia="Calibri" w:hAnsi="Calibri" w:cs="Times New Roman"/>
              </w:rPr>
            </w:pPr>
          </w:p>
          <w:p w14:paraId="7D2D57ED" w14:textId="77777777" w:rsidR="00C34B75" w:rsidRPr="00C34B75" w:rsidRDefault="00C34B75" w:rsidP="00C34B75">
            <w:pPr>
              <w:spacing w:line="256" w:lineRule="auto"/>
              <w:rPr>
                <w:rFonts w:ascii="Calibri" w:eastAsia="Calibri" w:hAnsi="Calibri" w:cs="Times New Roman"/>
              </w:rPr>
            </w:pPr>
            <w:r w:rsidRPr="00C34B75">
              <w:rPr>
                <w:rFonts w:ascii="Calibri" w:eastAsia="Calibri" w:hAnsi="Calibri" w:cs="Times New Roman"/>
              </w:rPr>
              <w:t>To allow ease of access to service provision, it is anticipated that pharmacies offer a range of appointment times throughout the day, where possible evening appointments could be facilitated.</w:t>
            </w:r>
          </w:p>
          <w:p w14:paraId="6F564F0B" w14:textId="77777777" w:rsidR="006D51A2" w:rsidRDefault="006D51A2" w:rsidP="00420DB8"/>
          <w:p w14:paraId="6469554E" w14:textId="2F991D54" w:rsidR="00420DB8" w:rsidRDefault="00420DB8" w:rsidP="00420DB8"/>
        </w:tc>
      </w:tr>
      <w:tr w:rsidR="006D51A2" w14:paraId="34C8D50D" w14:textId="77777777" w:rsidTr="007B4DE6">
        <w:tc>
          <w:tcPr>
            <w:tcW w:w="10141" w:type="dxa"/>
            <w:shd w:val="clear" w:color="auto" w:fill="4472C4" w:themeFill="accent1"/>
          </w:tcPr>
          <w:p w14:paraId="0D9127D8" w14:textId="77777777" w:rsidR="00C34B75" w:rsidRPr="005D46CD" w:rsidRDefault="00C34B75" w:rsidP="00C34B75">
            <w:pPr>
              <w:rPr>
                <w:b/>
                <w:bCs/>
                <w:color w:val="FFFFFF" w:themeColor="background1"/>
              </w:rPr>
            </w:pPr>
            <w:r w:rsidRPr="005D46CD">
              <w:rPr>
                <w:b/>
                <w:bCs/>
                <w:color w:val="FFFFFF" w:themeColor="background1"/>
              </w:rPr>
              <w:t xml:space="preserve">Training and accreditation </w:t>
            </w:r>
            <w:proofErr w:type="gramStart"/>
            <w:r w:rsidRPr="005D46CD">
              <w:rPr>
                <w:b/>
                <w:bCs/>
                <w:color w:val="FFFFFF" w:themeColor="background1"/>
              </w:rPr>
              <w:t>is</w:t>
            </w:r>
            <w:proofErr w:type="gramEnd"/>
            <w:r w:rsidRPr="005D46CD">
              <w:rPr>
                <w:b/>
                <w:bCs/>
                <w:color w:val="FFFFFF" w:themeColor="background1"/>
              </w:rPr>
              <w:t xml:space="preserve"> only applicable for Options 2.</w:t>
            </w:r>
          </w:p>
          <w:p w14:paraId="48C12582" w14:textId="68DB1B74" w:rsidR="006D51A2" w:rsidRPr="005D46CD" w:rsidRDefault="006D51A2" w:rsidP="006D51A2">
            <w:pPr>
              <w:rPr>
                <w:color w:val="FFFFFF" w:themeColor="background1"/>
              </w:rPr>
            </w:pPr>
          </w:p>
        </w:tc>
      </w:tr>
      <w:tr w:rsidR="006D51A2" w14:paraId="58780A7C" w14:textId="77777777" w:rsidTr="007B4DE6">
        <w:tc>
          <w:tcPr>
            <w:tcW w:w="10141" w:type="dxa"/>
          </w:tcPr>
          <w:p w14:paraId="170791F5" w14:textId="77777777" w:rsidR="006D51A2" w:rsidRPr="0057724F" w:rsidRDefault="006D51A2" w:rsidP="0057724F">
            <w:pPr>
              <w:rPr>
                <w:b/>
              </w:rPr>
            </w:pPr>
          </w:p>
          <w:p w14:paraId="18771589" w14:textId="6DAC9D31" w:rsidR="006D51A2" w:rsidRDefault="006D51A2" w:rsidP="006D51A2">
            <w:pPr>
              <w:rPr>
                <w:rStyle w:val="Hyperlink"/>
              </w:rPr>
            </w:pPr>
            <w:r>
              <w:t xml:space="preserve">Pharmacy staff providing Smoking Cessation Services must be trained to National Centre for Smoking Centre Training (NCSCT) standards and be assessed as competent to deliver a quality assured service. </w:t>
            </w:r>
            <w:hyperlink r:id="rId11" w:history="1">
              <w:r w:rsidRPr="0066206A">
                <w:rPr>
                  <w:rStyle w:val="Hyperlink"/>
                </w:rPr>
                <w:t>www.ncsct.co.uk</w:t>
              </w:r>
            </w:hyperlink>
          </w:p>
          <w:p w14:paraId="49EE8E18" w14:textId="77777777" w:rsidR="00A8685F" w:rsidRDefault="00A8685F" w:rsidP="006D51A2"/>
          <w:p w14:paraId="2B81DEB8" w14:textId="77777777" w:rsidR="006D51A2" w:rsidRDefault="006D51A2" w:rsidP="006D51A2"/>
          <w:p w14:paraId="4766B9EA" w14:textId="77777777" w:rsidR="00A9107F" w:rsidRDefault="006D51A2" w:rsidP="006D51A2">
            <w:r>
              <w:t xml:space="preserve">Accreditation is gained by completing </w:t>
            </w:r>
            <w:r w:rsidRPr="003D0651">
              <w:rPr>
                <w:b/>
              </w:rPr>
              <w:t>all</w:t>
            </w:r>
            <w:r>
              <w:t xml:space="preserve"> NCSCT online assessment training and attending a minimum </w:t>
            </w:r>
            <w:r w:rsidR="009B3F1D">
              <w:t>1</w:t>
            </w:r>
            <w:r>
              <w:t xml:space="preserve">-day face to face training course provided by Smokefree </w:t>
            </w:r>
            <w:r w:rsidR="009B3F1D">
              <w:t>Sefton</w:t>
            </w:r>
            <w:r>
              <w:t xml:space="preserve">, which will be followed by assessment and supervision.  All staff delivering smoking cessation must attend at least one update training session annually. </w:t>
            </w:r>
          </w:p>
          <w:p w14:paraId="53410E29" w14:textId="77777777" w:rsidR="00A52A3B" w:rsidRDefault="00A9107F" w:rsidP="006D51A2">
            <w:r>
              <w:t>Training for new advisors will be offered when there is a need. Please contact Smokefree Sefton.</w:t>
            </w:r>
            <w:r w:rsidR="006A6A77">
              <w:t xml:space="preserve"> </w:t>
            </w:r>
          </w:p>
          <w:p w14:paraId="05FAD498" w14:textId="20CF7ED2" w:rsidR="00A9107F" w:rsidRDefault="00A52A3B" w:rsidP="006D51A2">
            <w:r w:rsidRPr="00C34B75">
              <w:rPr>
                <w:rFonts w:ascii="Calibri" w:eastAsia="Calibri" w:hAnsi="Calibri" w:cs="Times New Roman"/>
                <w:b/>
                <w:bCs/>
                <w:color w:val="FF0000"/>
              </w:rPr>
              <w:lastRenderedPageBreak/>
              <w:t>Tel. 0300 100 1000</w:t>
            </w:r>
          </w:p>
          <w:p w14:paraId="304A0A4B" w14:textId="4AF722B2" w:rsidR="006D51A2" w:rsidRDefault="006D51A2" w:rsidP="006D51A2">
            <w:r>
              <w:t>There will not be a charge for any training.</w:t>
            </w:r>
          </w:p>
          <w:p w14:paraId="2379A3BC" w14:textId="77777777" w:rsidR="006D51A2" w:rsidRDefault="006D51A2" w:rsidP="006D51A2"/>
          <w:p w14:paraId="7A4B4E4E" w14:textId="094B066B" w:rsidR="000B26BC" w:rsidRDefault="006D51A2" w:rsidP="006D51A2">
            <w:r>
              <w:t xml:space="preserve">To ensure competence and confidence in practice, all individual staff should assist no less than </w:t>
            </w:r>
            <w:r w:rsidR="0054528F">
              <w:t>2</w:t>
            </w:r>
            <w:r>
              <w:t xml:space="preserve">0 clients to </w:t>
            </w:r>
            <w:r w:rsidR="008D4D5C">
              <w:t xml:space="preserve">try to </w:t>
            </w:r>
            <w:r>
              <w:t>be smoke free annually. (NCSCT guidance)</w:t>
            </w:r>
            <w:r w:rsidR="00DA1B97">
              <w:t xml:space="preserve"> </w:t>
            </w:r>
            <w:r w:rsidR="008E56D9">
              <w:t xml:space="preserve">The number of training sessions delivered by Smokefree Sefton will consider </w:t>
            </w:r>
            <w:r w:rsidR="00E458CA">
              <w:t>this compliance and the necessary geographical spread across Sefton.</w:t>
            </w:r>
          </w:p>
          <w:p w14:paraId="4F123A4F" w14:textId="77777777" w:rsidR="006D51A2" w:rsidRDefault="006D51A2" w:rsidP="006D51A2"/>
          <w:p w14:paraId="0953BF3F" w14:textId="545D7D16" w:rsidR="006D51A2" w:rsidRDefault="006D51A2" w:rsidP="006D51A2">
            <w:r>
              <w:t xml:space="preserve">If an advisor has not delivered the service in compliance with the NCSCT guidance and has not attended update training their name will be removed from the Smokefree </w:t>
            </w:r>
            <w:r w:rsidR="009B3F1D">
              <w:t>Sefton</w:t>
            </w:r>
            <w:r>
              <w:t xml:space="preserve"> register of Pharmacy advisors.</w:t>
            </w:r>
          </w:p>
          <w:p w14:paraId="6CDC7F7E" w14:textId="77777777" w:rsidR="006D51A2" w:rsidRDefault="006D51A2" w:rsidP="006D51A2"/>
          <w:p w14:paraId="6213FA09" w14:textId="43B4A1FF" w:rsidR="006D51A2" w:rsidRDefault="006D51A2" w:rsidP="006D51A2">
            <w:r>
              <w:t xml:space="preserve">Smokefree </w:t>
            </w:r>
            <w:r w:rsidR="009B3F1D">
              <w:t>Sefton</w:t>
            </w:r>
            <w:r>
              <w:t xml:space="preserve"> will provide update training / peer supervision </w:t>
            </w:r>
            <w:r w:rsidR="00016B25">
              <w:t xml:space="preserve">annually </w:t>
            </w:r>
            <w:r>
              <w:t xml:space="preserve">for this will </w:t>
            </w:r>
            <w:r w:rsidR="00F71485">
              <w:t>cover: -</w:t>
            </w:r>
          </w:p>
          <w:p w14:paraId="336C0F73" w14:textId="77777777" w:rsidR="006D51A2" w:rsidRDefault="006D51A2" w:rsidP="006D51A2">
            <w:pPr>
              <w:pStyle w:val="ListParagraph"/>
              <w:numPr>
                <w:ilvl w:val="0"/>
                <w:numId w:val="6"/>
              </w:numPr>
            </w:pPr>
            <w:r>
              <w:t>New research</w:t>
            </w:r>
          </w:p>
          <w:p w14:paraId="539982FF" w14:textId="77777777" w:rsidR="006D51A2" w:rsidRDefault="006D51A2" w:rsidP="006D51A2">
            <w:pPr>
              <w:pStyle w:val="ListParagraph"/>
              <w:numPr>
                <w:ilvl w:val="0"/>
                <w:numId w:val="6"/>
              </w:numPr>
            </w:pPr>
            <w:r>
              <w:t>Medication</w:t>
            </w:r>
          </w:p>
          <w:p w14:paraId="434350C5" w14:textId="77777777" w:rsidR="006D51A2" w:rsidRDefault="006D51A2" w:rsidP="006D51A2">
            <w:pPr>
              <w:pStyle w:val="ListParagraph"/>
              <w:numPr>
                <w:ilvl w:val="0"/>
                <w:numId w:val="6"/>
              </w:numPr>
            </w:pPr>
            <w:r>
              <w:t>Communication systems</w:t>
            </w:r>
          </w:p>
          <w:p w14:paraId="087E7122" w14:textId="77777777" w:rsidR="006D51A2" w:rsidRDefault="006D51A2" w:rsidP="006D51A2">
            <w:pPr>
              <w:pStyle w:val="ListParagraph"/>
              <w:numPr>
                <w:ilvl w:val="0"/>
                <w:numId w:val="6"/>
              </w:numPr>
            </w:pPr>
            <w:r>
              <w:t xml:space="preserve">Feedback on performance for each pharmacy </w:t>
            </w:r>
          </w:p>
          <w:p w14:paraId="75C6D77A" w14:textId="2ACE985A" w:rsidR="006D51A2" w:rsidRDefault="006D51A2" w:rsidP="006D51A2">
            <w:pPr>
              <w:pStyle w:val="ListParagraph"/>
              <w:numPr>
                <w:ilvl w:val="0"/>
                <w:numId w:val="6"/>
              </w:numPr>
            </w:pPr>
            <w:r>
              <w:t xml:space="preserve">Provide the opportunity to discuss any challenges and share good </w:t>
            </w:r>
            <w:r w:rsidR="00FF6A4F">
              <w:t>practice.</w:t>
            </w:r>
          </w:p>
          <w:p w14:paraId="0ED0D2D7" w14:textId="5AB78920" w:rsidR="00016B25" w:rsidRDefault="00016B25" w:rsidP="00016B25"/>
          <w:p w14:paraId="4E1471F5" w14:textId="5DF08491" w:rsidR="00016B25" w:rsidRDefault="00B45ADD" w:rsidP="00016B25">
            <w:r>
              <w:t>S</w:t>
            </w:r>
            <w:r w:rsidR="00016B25">
              <w:t>taff delivering smoking cessation must attend the update training</w:t>
            </w:r>
            <w:r>
              <w:t xml:space="preserve"> </w:t>
            </w:r>
            <w:r w:rsidR="00FF6A4F">
              <w:t>annually.</w:t>
            </w:r>
          </w:p>
          <w:p w14:paraId="4B1799A8" w14:textId="1E32BF9F" w:rsidR="00F71485" w:rsidRDefault="00F71485" w:rsidP="00016B25">
            <w:r>
              <w:t>Calibration of CO monitors, where necessary will take place at the update session.</w:t>
            </w:r>
          </w:p>
          <w:p w14:paraId="444AB5E1" w14:textId="77777777" w:rsidR="00016B25" w:rsidRDefault="00016B25" w:rsidP="00016B25"/>
          <w:p w14:paraId="4194F1ED" w14:textId="01304266" w:rsidR="0094459C" w:rsidRDefault="006D51A2" w:rsidP="006D51A2">
            <w:r>
              <w:t>In addition to update training, opportunities will arise for staff to attend specific topical training to enhance their practice.</w:t>
            </w:r>
          </w:p>
          <w:p w14:paraId="120E42F7" w14:textId="77777777" w:rsidR="00E818D0" w:rsidRDefault="00E818D0" w:rsidP="006D51A2"/>
          <w:p w14:paraId="4FD1CD54" w14:textId="02A30B0B" w:rsidR="00467BA9" w:rsidRDefault="00E818D0" w:rsidP="006D51A2">
            <w:r>
              <w:t xml:space="preserve">After specific vape training, staff </w:t>
            </w:r>
            <w:proofErr w:type="gramStart"/>
            <w:r>
              <w:t>are able to</w:t>
            </w:r>
            <w:proofErr w:type="gramEnd"/>
            <w:r>
              <w:t xml:space="preserve"> support clients who want to provide their own vapes to support their quit. However, it is important to ensure staff ar</w:t>
            </w:r>
            <w:r w:rsidR="00AF199F">
              <w:t>e up to date with national guidance. Documentation will be shared to ensure this is availabl</w:t>
            </w:r>
            <w:r w:rsidR="001F4894">
              <w:t xml:space="preserve">e: </w:t>
            </w:r>
            <w:hyperlink r:id="rId12" w:history="1">
              <w:r w:rsidR="001F4894" w:rsidRPr="00DC3DED">
                <w:rPr>
                  <w:rStyle w:val="Hyperlink"/>
                </w:rPr>
                <w:t>https://www.ncsct.co.uk/publications/Vaping_briefing</w:t>
              </w:r>
            </w:hyperlink>
          </w:p>
          <w:p w14:paraId="368E4D0E" w14:textId="77777777" w:rsidR="001F4894" w:rsidRDefault="001F4894" w:rsidP="006D51A2"/>
          <w:p w14:paraId="0C7E0B38" w14:textId="43EB57A6" w:rsidR="00F71485" w:rsidRDefault="00016B25" w:rsidP="006D51A2">
            <w:r>
              <w:t>Training will be delivered</w:t>
            </w:r>
            <w:r w:rsidR="00A26AB3">
              <w:t xml:space="preserve"> in a format most appropriate to what</w:t>
            </w:r>
            <w:r w:rsidR="004A2558">
              <w:t xml:space="preserve"> content</w:t>
            </w:r>
            <w:r w:rsidR="00A26AB3">
              <w:t xml:space="preserve"> is being delivered and which complies to national standards</w:t>
            </w:r>
            <w:r w:rsidR="00D55D9D">
              <w:t>.</w:t>
            </w:r>
            <w:r w:rsidR="00B45ADD">
              <w:t xml:space="preserve"> When appropriate online training will be </w:t>
            </w:r>
            <w:r w:rsidR="00344E03">
              <w:t>utilised</w:t>
            </w:r>
            <w:r w:rsidR="00A26AB3">
              <w:t xml:space="preserve"> will be delivered</w:t>
            </w:r>
            <w:r>
              <w:t xml:space="preserve"> at times most convenient to the pharmac</w:t>
            </w:r>
            <w:r w:rsidR="00A115B7">
              <w:t>y staff, including evenings.</w:t>
            </w:r>
          </w:p>
          <w:p w14:paraId="0E2CF075" w14:textId="77777777" w:rsidR="006D51A2" w:rsidRDefault="006D51A2" w:rsidP="006D51A2"/>
          <w:p w14:paraId="5958F9F0" w14:textId="77777777" w:rsidR="006D5379" w:rsidRDefault="006D5379" w:rsidP="006D51A2">
            <w:pPr>
              <w:rPr>
                <w:b/>
                <w:bCs/>
                <w:color w:val="FF0000"/>
              </w:rPr>
            </w:pPr>
            <w:r>
              <w:t xml:space="preserve">Support will be readily available from Smokefree Sefton Specialist Stop Smoking Service. </w:t>
            </w:r>
            <w:r w:rsidRPr="006D5379">
              <w:rPr>
                <w:b/>
                <w:bCs/>
                <w:color w:val="FF0000"/>
              </w:rPr>
              <w:t>Tel. 0300 100 1000</w:t>
            </w:r>
          </w:p>
          <w:p w14:paraId="4464575B" w14:textId="4A55D1A8" w:rsidR="00E02138" w:rsidRPr="000853F1" w:rsidRDefault="00E02138" w:rsidP="006D51A2"/>
        </w:tc>
      </w:tr>
      <w:tr w:rsidR="0094459C" w14:paraId="4C6C7A59" w14:textId="77777777" w:rsidTr="007B4DE6">
        <w:tc>
          <w:tcPr>
            <w:tcW w:w="10141" w:type="dxa"/>
            <w:shd w:val="clear" w:color="auto" w:fill="4472C4" w:themeFill="accent1"/>
          </w:tcPr>
          <w:p w14:paraId="69DC8879" w14:textId="7CD04CAB" w:rsidR="0094459C" w:rsidRDefault="00AF199F" w:rsidP="002C2F61">
            <w:pPr>
              <w:tabs>
                <w:tab w:val="left" w:pos="1710"/>
              </w:tabs>
            </w:pPr>
            <w:r w:rsidRPr="00756EC5">
              <w:rPr>
                <w:color w:val="FFFFFF" w:themeColor="background1"/>
              </w:rPr>
              <w:lastRenderedPageBreak/>
              <w:t>7</w:t>
            </w:r>
            <w:r w:rsidR="002C2F61" w:rsidRPr="00756EC5">
              <w:rPr>
                <w:color w:val="FFFFFF" w:themeColor="background1"/>
              </w:rPr>
              <w:t>.</w:t>
            </w:r>
            <w:r w:rsidR="0094459C" w:rsidRPr="00756EC5">
              <w:rPr>
                <w:color w:val="FFFFFF" w:themeColor="background1"/>
              </w:rPr>
              <w:t>Performance monitoring</w:t>
            </w:r>
            <w:r w:rsidR="00420DB8" w:rsidRPr="00756EC5">
              <w:rPr>
                <w:color w:val="FFFFFF" w:themeColor="background1"/>
              </w:rPr>
              <w:t xml:space="preserve"> (Option 2)</w:t>
            </w:r>
          </w:p>
        </w:tc>
      </w:tr>
      <w:tr w:rsidR="006D51A2" w14:paraId="50D193D2" w14:textId="77777777" w:rsidTr="007B4DE6">
        <w:tc>
          <w:tcPr>
            <w:tcW w:w="10141" w:type="dxa"/>
          </w:tcPr>
          <w:p w14:paraId="163F5AC5" w14:textId="77777777" w:rsidR="0094459C" w:rsidRPr="009132C4" w:rsidRDefault="0094459C" w:rsidP="0094459C"/>
          <w:p w14:paraId="1789F263" w14:textId="130147F4" w:rsidR="0094459C" w:rsidRPr="009132C4" w:rsidRDefault="0094459C" w:rsidP="0094459C">
            <w:r w:rsidRPr="009132C4">
              <w:t>The P</w:t>
            </w:r>
            <w:r>
              <w:t>harmacy staff must adhere to</w:t>
            </w:r>
            <w:r w:rsidRPr="009132C4">
              <w:t xml:space="preserve"> service </w:t>
            </w:r>
            <w:r>
              <w:t xml:space="preserve">delivery </w:t>
            </w:r>
            <w:r w:rsidR="00FF6A4F">
              <w:t>protocols.</w:t>
            </w:r>
          </w:p>
          <w:p w14:paraId="222489FF" w14:textId="6AC5D5B3" w:rsidR="0094459C" w:rsidRDefault="0094459C" w:rsidP="0094459C">
            <w:r>
              <w:t>ABL Health Ltd</w:t>
            </w:r>
            <w:r w:rsidRPr="009132C4">
              <w:t xml:space="preserve"> reserves the right t</w:t>
            </w:r>
            <w:r>
              <w:t xml:space="preserve">o monitor all parts </w:t>
            </w:r>
            <w:r w:rsidRPr="009132C4">
              <w:t xml:space="preserve">of the service delivered by the </w:t>
            </w:r>
            <w:r w:rsidR="004A2558">
              <w:t>p</w:t>
            </w:r>
            <w:r w:rsidRPr="009132C4">
              <w:t>harmacy to ensure the quality of the service continues.</w:t>
            </w:r>
          </w:p>
          <w:p w14:paraId="7118484A" w14:textId="24370CE2" w:rsidR="006D51A2" w:rsidRDefault="0094459C" w:rsidP="0094459C">
            <w:r>
              <w:t>Ongoing support will be given by Smokefree</w:t>
            </w:r>
            <w:r w:rsidR="009B3F1D">
              <w:t xml:space="preserve"> Sefton</w:t>
            </w:r>
            <w:r>
              <w:t>.</w:t>
            </w:r>
          </w:p>
          <w:p w14:paraId="7BD2609E" w14:textId="57997369" w:rsidR="002C2F61" w:rsidRPr="000853F1" w:rsidRDefault="002C2F61" w:rsidP="0094459C"/>
        </w:tc>
      </w:tr>
      <w:tr w:rsidR="0094459C" w14:paraId="726E848B" w14:textId="77777777" w:rsidTr="007B4DE6">
        <w:tc>
          <w:tcPr>
            <w:tcW w:w="10141" w:type="dxa"/>
            <w:shd w:val="clear" w:color="auto" w:fill="4472C4" w:themeFill="accent1"/>
          </w:tcPr>
          <w:p w14:paraId="08605376" w14:textId="317A6E88" w:rsidR="0094459C" w:rsidRPr="00756EC5" w:rsidRDefault="00AF199F" w:rsidP="0094459C">
            <w:r w:rsidRPr="00756EC5">
              <w:rPr>
                <w:color w:val="FFFFFF" w:themeColor="background1"/>
              </w:rPr>
              <w:t>8</w:t>
            </w:r>
            <w:r w:rsidR="002C2F61" w:rsidRPr="00756EC5">
              <w:rPr>
                <w:color w:val="FFFFFF" w:themeColor="background1"/>
              </w:rPr>
              <w:t>.</w:t>
            </w:r>
            <w:r w:rsidR="0094459C" w:rsidRPr="00756EC5">
              <w:rPr>
                <w:color w:val="FFFFFF" w:themeColor="background1"/>
              </w:rPr>
              <w:t>Pharmacotherapy</w:t>
            </w:r>
            <w:r w:rsidR="00A75FB5" w:rsidRPr="00756EC5">
              <w:rPr>
                <w:color w:val="FFFFFF" w:themeColor="background1"/>
              </w:rPr>
              <w:t xml:space="preserve"> (Option 1 and 2)</w:t>
            </w:r>
          </w:p>
        </w:tc>
      </w:tr>
      <w:tr w:rsidR="0094459C" w14:paraId="6911E21D" w14:textId="77777777" w:rsidTr="007B4DE6">
        <w:tc>
          <w:tcPr>
            <w:tcW w:w="10141" w:type="dxa"/>
          </w:tcPr>
          <w:p w14:paraId="2C2D16B5" w14:textId="28BC532A" w:rsidR="0094459C" w:rsidRPr="00B52B5E" w:rsidRDefault="0094459C" w:rsidP="009B3F1D"/>
          <w:p w14:paraId="58CCF57E" w14:textId="2F83DAA0" w:rsidR="0094459C" w:rsidRDefault="00AF199F" w:rsidP="00A97D9D">
            <w:r>
              <w:t>8</w:t>
            </w:r>
            <w:r w:rsidR="00A97D9D">
              <w:t xml:space="preserve">.1 </w:t>
            </w:r>
            <w:r w:rsidR="0094459C">
              <w:t>Practitioners can supply all forms of NRT cited on the voucher following appropriate assessment.</w:t>
            </w:r>
          </w:p>
          <w:p w14:paraId="49F2D783" w14:textId="39FB164F" w:rsidR="0094459C" w:rsidRDefault="00AF199F" w:rsidP="00A97D9D">
            <w:r>
              <w:t>8</w:t>
            </w:r>
            <w:r w:rsidR="00A97D9D">
              <w:t xml:space="preserve">.2 </w:t>
            </w:r>
            <w:r w:rsidR="0094459C">
              <w:t>The practitioner is responsible to ensure the client meets the inclusion criteria for the supply of NRT.</w:t>
            </w:r>
          </w:p>
          <w:p w14:paraId="57FF4A90" w14:textId="6DC6A85A" w:rsidR="00A97D9D" w:rsidRDefault="00AF199F" w:rsidP="00A97D9D">
            <w:r>
              <w:t>8</w:t>
            </w:r>
            <w:r w:rsidR="00A97D9D">
              <w:t xml:space="preserve">.3 </w:t>
            </w:r>
            <w:r w:rsidR="0094459C">
              <w:t xml:space="preserve">Clients who are eligible to pay prescription charges will pay a fee for each item. These payments will </w:t>
            </w:r>
            <w:proofErr w:type="gramStart"/>
            <w:r w:rsidR="0094459C">
              <w:t>be</w:t>
            </w:r>
            <w:proofErr w:type="gramEnd"/>
          </w:p>
          <w:p w14:paraId="04429648" w14:textId="059E4E9A" w:rsidR="0094459C" w:rsidRDefault="00A97D9D" w:rsidP="00A97D9D">
            <w:r>
              <w:t xml:space="preserve">       deducted from the</w:t>
            </w:r>
            <w:r w:rsidR="0094459C">
              <w:t xml:space="preserve"> </w:t>
            </w:r>
            <w:r w:rsidR="007A78F7">
              <w:t>pharmacy reimbursement.</w:t>
            </w:r>
            <w:r>
              <w:t xml:space="preserve">                                                                                        </w:t>
            </w:r>
            <w:r w:rsidR="0094459C">
              <w:t xml:space="preserve">  </w:t>
            </w:r>
          </w:p>
          <w:p w14:paraId="098C0BE5" w14:textId="3CF9DFF7" w:rsidR="0094459C" w:rsidRDefault="0094459C" w:rsidP="00AF199F">
            <w:pPr>
              <w:pStyle w:val="ListParagraph"/>
              <w:numPr>
                <w:ilvl w:val="1"/>
                <w:numId w:val="28"/>
              </w:numPr>
            </w:pPr>
            <w:r>
              <w:lastRenderedPageBreak/>
              <w:t>Clients who are exempt from paying a prescription charge will not pay for NRT</w:t>
            </w:r>
            <w:r w:rsidR="009B3F1D">
              <w:t>. Proof must be</w:t>
            </w:r>
            <w:r w:rsidR="00D31332">
              <w:t xml:space="preserve"> seen</w:t>
            </w:r>
            <w:r w:rsidR="009B3F1D">
              <w:t xml:space="preserve"> by the practitioner.</w:t>
            </w:r>
          </w:p>
          <w:p w14:paraId="5CB10B75" w14:textId="488E530A" w:rsidR="0094459C" w:rsidRDefault="0094459C" w:rsidP="00AF199F">
            <w:pPr>
              <w:pStyle w:val="ListParagraph"/>
              <w:numPr>
                <w:ilvl w:val="1"/>
                <w:numId w:val="28"/>
              </w:numPr>
            </w:pPr>
            <w:r>
              <w:t xml:space="preserve">All </w:t>
            </w:r>
            <w:r w:rsidR="00D31332">
              <w:t xml:space="preserve">selected </w:t>
            </w:r>
            <w:r>
              <w:t>NRT, and voucher numbers must be recorded in the clients` records</w:t>
            </w:r>
            <w:r w:rsidR="00D31332">
              <w:t xml:space="preserve"> </w:t>
            </w:r>
            <w:r w:rsidR="00860971">
              <w:t xml:space="preserve">on </w:t>
            </w:r>
            <w:proofErr w:type="spellStart"/>
            <w:r w:rsidR="00860971">
              <w:t>PharmOutcomes</w:t>
            </w:r>
            <w:proofErr w:type="spellEnd"/>
            <w:r w:rsidR="00D31332">
              <w:t>.</w:t>
            </w:r>
          </w:p>
          <w:p w14:paraId="61B43EF6" w14:textId="77777777" w:rsidR="007B4DE6" w:rsidRDefault="007B4DE6" w:rsidP="0094459C">
            <w:pPr>
              <w:rPr>
                <w:b/>
              </w:rPr>
            </w:pPr>
          </w:p>
          <w:p w14:paraId="51717B07" w14:textId="68DC2CEC" w:rsidR="0094459C" w:rsidRPr="001A11C0" w:rsidRDefault="0094459C" w:rsidP="0094459C">
            <w:pPr>
              <w:rPr>
                <w:b/>
              </w:rPr>
            </w:pPr>
            <w:r>
              <w:rPr>
                <w:b/>
              </w:rPr>
              <w:t xml:space="preserve">NRT </w:t>
            </w:r>
            <w:r w:rsidRPr="00B6750D">
              <w:rPr>
                <w:b/>
              </w:rPr>
              <w:t>products dispensed through the voucher scheme</w:t>
            </w:r>
            <w:r>
              <w:rPr>
                <w:b/>
              </w:rPr>
              <w:t xml:space="preserve"> must be in accordance with those documented on the vouchers.</w:t>
            </w:r>
          </w:p>
          <w:p w14:paraId="14DFCEEC" w14:textId="227D7528" w:rsidR="0094459C" w:rsidRPr="000853F1" w:rsidRDefault="0094459C" w:rsidP="00D31332"/>
        </w:tc>
      </w:tr>
      <w:tr w:rsidR="0094459C" w14:paraId="588B4E40" w14:textId="77777777" w:rsidTr="007B4DE6">
        <w:tc>
          <w:tcPr>
            <w:tcW w:w="10141" w:type="dxa"/>
            <w:shd w:val="clear" w:color="auto" w:fill="4472C4" w:themeFill="accent1"/>
          </w:tcPr>
          <w:p w14:paraId="6B02768F" w14:textId="16408133" w:rsidR="0094459C" w:rsidRPr="000853F1" w:rsidRDefault="00AF199F" w:rsidP="0094459C">
            <w:r w:rsidRPr="00756EC5">
              <w:rPr>
                <w:color w:val="FFFFFF" w:themeColor="background1"/>
              </w:rPr>
              <w:lastRenderedPageBreak/>
              <w:t>9</w:t>
            </w:r>
            <w:r w:rsidR="00843F36" w:rsidRPr="00756EC5">
              <w:rPr>
                <w:color w:val="FFFFFF" w:themeColor="background1"/>
              </w:rPr>
              <w:t>.</w:t>
            </w:r>
            <w:r w:rsidR="0094459C" w:rsidRPr="00756EC5">
              <w:rPr>
                <w:color w:val="FFFFFF" w:themeColor="background1"/>
              </w:rPr>
              <w:t xml:space="preserve">Record </w:t>
            </w:r>
            <w:r w:rsidR="00467BA9" w:rsidRPr="00756EC5">
              <w:rPr>
                <w:color w:val="FFFFFF" w:themeColor="background1"/>
              </w:rPr>
              <w:t>keeping (</w:t>
            </w:r>
            <w:r w:rsidR="00A75FB5" w:rsidRPr="00756EC5">
              <w:rPr>
                <w:color w:val="FFFFFF" w:themeColor="background1"/>
              </w:rPr>
              <w:t>Option 2)</w:t>
            </w:r>
          </w:p>
        </w:tc>
      </w:tr>
      <w:tr w:rsidR="0094459C" w14:paraId="47286014" w14:textId="77777777" w:rsidTr="007B4DE6">
        <w:tc>
          <w:tcPr>
            <w:tcW w:w="10141" w:type="dxa"/>
          </w:tcPr>
          <w:p w14:paraId="54D71FB3" w14:textId="77777777" w:rsidR="00843F36" w:rsidRDefault="00843F36" w:rsidP="00843F36">
            <w:pPr>
              <w:rPr>
                <w:bCs/>
              </w:rPr>
            </w:pPr>
          </w:p>
          <w:p w14:paraId="7512C55A" w14:textId="7AF4D34F" w:rsidR="00362BAA" w:rsidRDefault="00843F36" w:rsidP="00843F36">
            <w:pPr>
              <w:rPr>
                <w:bCs/>
              </w:rPr>
            </w:pPr>
            <w:r>
              <w:rPr>
                <w:bCs/>
              </w:rPr>
              <w:t xml:space="preserve">  </w:t>
            </w:r>
            <w:r w:rsidR="00AF199F">
              <w:rPr>
                <w:bCs/>
              </w:rPr>
              <w:t>9</w:t>
            </w:r>
            <w:r w:rsidR="00232397">
              <w:rPr>
                <w:bCs/>
              </w:rPr>
              <w:t>.1</w:t>
            </w:r>
            <w:r>
              <w:rPr>
                <w:bCs/>
              </w:rPr>
              <w:t xml:space="preserve"> </w:t>
            </w:r>
            <w:r w:rsidR="0094459C" w:rsidRPr="00843F36">
              <w:rPr>
                <w:bCs/>
              </w:rPr>
              <w:t>Consent to treatment in line with GDPR (2018) must be agreed and documented</w:t>
            </w:r>
            <w:r w:rsidR="00362BAA">
              <w:rPr>
                <w:bCs/>
              </w:rPr>
              <w:t xml:space="preserve"> in the clients </w:t>
            </w:r>
            <w:proofErr w:type="gramStart"/>
            <w:r w:rsidR="00362BAA">
              <w:rPr>
                <w:bCs/>
              </w:rPr>
              <w:t>records</w:t>
            </w:r>
            <w:proofErr w:type="gramEnd"/>
          </w:p>
          <w:p w14:paraId="22251C2B" w14:textId="024E036D" w:rsidR="00362BAA" w:rsidRDefault="00362BAA" w:rsidP="00843F36">
            <w:pPr>
              <w:rPr>
                <w:bCs/>
              </w:rPr>
            </w:pPr>
            <w:r>
              <w:rPr>
                <w:bCs/>
              </w:rPr>
              <w:t xml:space="preserve">           on </w:t>
            </w:r>
            <w:proofErr w:type="spellStart"/>
            <w:r w:rsidR="00BC6755">
              <w:rPr>
                <w:bCs/>
              </w:rPr>
              <w:t>P</w:t>
            </w:r>
            <w:r>
              <w:rPr>
                <w:bCs/>
              </w:rPr>
              <w:t>harm</w:t>
            </w:r>
            <w:r w:rsidR="00BC6755">
              <w:rPr>
                <w:bCs/>
              </w:rPr>
              <w:t>o</w:t>
            </w:r>
            <w:r>
              <w:rPr>
                <w:bCs/>
              </w:rPr>
              <w:t>utcomes</w:t>
            </w:r>
            <w:proofErr w:type="spellEnd"/>
            <w:r>
              <w:rPr>
                <w:bCs/>
              </w:rPr>
              <w:t xml:space="preserve"> at the start of the quit attempt. This may be </w:t>
            </w:r>
            <w:r w:rsidR="00D97557">
              <w:rPr>
                <w:bCs/>
              </w:rPr>
              <w:t>verbal</w:t>
            </w:r>
            <w:r>
              <w:rPr>
                <w:bCs/>
              </w:rPr>
              <w:t xml:space="preserve"> consent. Consent needs to </w:t>
            </w:r>
          </w:p>
          <w:p w14:paraId="0A136E62" w14:textId="533D9BC9" w:rsidR="0094459C" w:rsidRDefault="00362BAA" w:rsidP="00843F36">
            <w:pPr>
              <w:rPr>
                <w:bCs/>
              </w:rPr>
            </w:pPr>
            <w:r>
              <w:rPr>
                <w:bCs/>
              </w:rPr>
              <w:t xml:space="preserve">           agreed to share appropriate information with the clients GP and Smokefree Sefton.</w:t>
            </w:r>
          </w:p>
          <w:p w14:paraId="2C6AD288" w14:textId="71ECA955" w:rsidR="00232397" w:rsidRDefault="00843F36" w:rsidP="00843F36">
            <w:r>
              <w:t xml:space="preserve">  </w:t>
            </w:r>
            <w:r w:rsidR="00AF199F">
              <w:t>9.</w:t>
            </w:r>
            <w:r w:rsidR="00232397">
              <w:t>2</w:t>
            </w:r>
            <w:r>
              <w:t xml:space="preserve"> </w:t>
            </w:r>
            <w:r w:rsidR="0094459C">
              <w:t>Records m</w:t>
            </w:r>
            <w:r w:rsidR="0094459C" w:rsidRPr="00266CEF">
              <w:t>ust adhere to the National Minimum Standard of Clinical Note Keeping</w:t>
            </w:r>
            <w:r w:rsidR="0094459C">
              <w:t>.</w:t>
            </w:r>
            <w:r w:rsidR="00232397">
              <w:t xml:space="preserve"> </w:t>
            </w:r>
            <w:r w:rsidR="0094459C">
              <w:t xml:space="preserve">A record of </w:t>
            </w:r>
            <w:r>
              <w:t xml:space="preserve">         </w:t>
            </w:r>
          </w:p>
          <w:p w14:paraId="4BE580D2" w14:textId="0550F622" w:rsidR="00232397" w:rsidRDefault="00232397" w:rsidP="00843F36">
            <w:r>
              <w:t xml:space="preserve">          everything discussed in reference to the quit attempt must be documented. Each session must </w:t>
            </w:r>
            <w:proofErr w:type="gramStart"/>
            <w:r>
              <w:t>contain</w:t>
            </w:r>
            <w:proofErr w:type="gramEnd"/>
            <w:r>
              <w:t xml:space="preserve"> </w:t>
            </w:r>
          </w:p>
          <w:p w14:paraId="0DFF2735" w14:textId="08CCA7E7" w:rsidR="00232397" w:rsidRDefault="00232397" w:rsidP="00843F36">
            <w:r>
              <w:t xml:space="preserve">          the elements from the NCSCT Standard Treatment Prog</w:t>
            </w:r>
            <w:r w:rsidR="001F390D">
              <w:t>r</w:t>
            </w:r>
            <w:r>
              <w:t xml:space="preserve">amme document. A copy of this will </w:t>
            </w:r>
            <w:proofErr w:type="gramStart"/>
            <w:r>
              <w:t>be</w:t>
            </w:r>
            <w:proofErr w:type="gramEnd"/>
            <w:r>
              <w:t xml:space="preserve"> </w:t>
            </w:r>
          </w:p>
          <w:p w14:paraId="36F0A3C1" w14:textId="38C303DA" w:rsidR="00232397" w:rsidRDefault="00232397" w:rsidP="00843F36">
            <w:r>
              <w:t xml:space="preserve">          provided to each advisor during their training or can be accessed,</w:t>
            </w:r>
          </w:p>
          <w:p w14:paraId="2C7788DB" w14:textId="66A783AA" w:rsidR="00816627" w:rsidRDefault="00816627" w:rsidP="00843F36">
            <w:r>
              <w:t xml:space="preserve">          </w:t>
            </w:r>
            <w:hyperlink r:id="rId13" w:history="1">
              <w:r w:rsidRPr="00F73540">
                <w:rPr>
                  <w:rStyle w:val="Hyperlink"/>
                </w:rPr>
                <w:t>www.ncsct.co.uk/usr/pdf/Standard%20Treatment%Programmepdf</w:t>
              </w:r>
            </w:hyperlink>
          </w:p>
          <w:p w14:paraId="1CC3583E" w14:textId="118EE085" w:rsidR="0094459C" w:rsidRDefault="001F4894" w:rsidP="007A78F7">
            <w:r>
              <w:t xml:space="preserve">  </w:t>
            </w:r>
            <w:r w:rsidR="00AF199F">
              <w:t>9</w:t>
            </w:r>
            <w:r w:rsidR="007A78F7">
              <w:t xml:space="preserve">.3 </w:t>
            </w:r>
            <w:r w:rsidR="0094459C" w:rsidRPr="00A1156A">
              <w:t xml:space="preserve">The pharmacy must not use any form of documentation or patient letter which has not </w:t>
            </w:r>
            <w:proofErr w:type="gramStart"/>
            <w:r w:rsidR="0094459C" w:rsidRPr="00A1156A">
              <w:t>been</w:t>
            </w:r>
            <w:proofErr w:type="gramEnd"/>
            <w:r w:rsidR="0094459C" w:rsidRPr="00A1156A">
              <w:t xml:space="preserve"> </w:t>
            </w:r>
          </w:p>
          <w:p w14:paraId="5A3E7238" w14:textId="7E22242F" w:rsidR="0094459C" w:rsidRDefault="007A78F7" w:rsidP="0094459C">
            <w:r>
              <w:t xml:space="preserve">          approved by Smokefree Sefton</w:t>
            </w:r>
            <w:r w:rsidR="00FF6A4F">
              <w:t>.</w:t>
            </w:r>
          </w:p>
          <w:p w14:paraId="20B190E3" w14:textId="120F7DD7" w:rsidR="00C63485" w:rsidRPr="00816627" w:rsidRDefault="001F4894" w:rsidP="0094459C">
            <w:r>
              <w:t xml:space="preserve">   </w:t>
            </w:r>
            <w:r w:rsidR="00AF199F">
              <w:t>9</w:t>
            </w:r>
            <w:r w:rsidR="007A78F7">
              <w:t xml:space="preserve">.4 </w:t>
            </w:r>
            <w:r w:rsidR="00C63485" w:rsidRPr="00816627">
              <w:t>Data collection</w:t>
            </w:r>
          </w:p>
          <w:p w14:paraId="616158C6" w14:textId="77777777" w:rsidR="001F4894" w:rsidRDefault="001F4894" w:rsidP="00C63485">
            <w:r>
              <w:t xml:space="preserve">       </w:t>
            </w:r>
            <w:r w:rsidR="00C63485">
              <w:t xml:space="preserve">All documentation must be entered onto </w:t>
            </w:r>
            <w:proofErr w:type="spellStart"/>
            <w:r w:rsidR="007625A8">
              <w:t>P</w:t>
            </w:r>
            <w:r w:rsidR="00AE05A1">
              <w:t>harm</w:t>
            </w:r>
            <w:r w:rsidR="007625A8">
              <w:t>O</w:t>
            </w:r>
            <w:r w:rsidR="00AE05A1">
              <w:t>utcomes</w:t>
            </w:r>
            <w:proofErr w:type="spellEnd"/>
            <w:r w:rsidR="00C63485">
              <w:t xml:space="preserve"> which contains data collection mandatory </w:t>
            </w:r>
            <w:proofErr w:type="gramStart"/>
            <w:r>
              <w:t>fields</w:t>
            </w:r>
            <w:proofErr w:type="gramEnd"/>
            <w:r>
              <w:t xml:space="preserve">                          </w:t>
            </w:r>
          </w:p>
          <w:p w14:paraId="63BF9FB3" w14:textId="77777777" w:rsidR="001F4894" w:rsidRDefault="001F4894" w:rsidP="00C63485">
            <w:r>
              <w:t xml:space="preserve">       which </w:t>
            </w:r>
            <w:r w:rsidR="00C63485">
              <w:t xml:space="preserve">meet the HSCIC and Russell Standard monitoring requirements. It is essential that all fields </w:t>
            </w:r>
            <w:proofErr w:type="gramStart"/>
            <w:r w:rsidR="00C63485">
              <w:t>are</w:t>
            </w:r>
            <w:proofErr w:type="gramEnd"/>
            <w:r w:rsidR="00C63485">
              <w:t xml:space="preserve"> </w:t>
            </w:r>
          </w:p>
          <w:p w14:paraId="02A726E5" w14:textId="2936E4B3" w:rsidR="00C63485" w:rsidRDefault="001F4894" w:rsidP="00C63485">
            <w:r>
              <w:t xml:space="preserve">       completed</w:t>
            </w:r>
            <w:r w:rsidR="00C63485">
              <w:t xml:space="preserve"> to ensure that quality assurance is reflected for Smokefree </w:t>
            </w:r>
            <w:r w:rsidR="00AE05A1">
              <w:t>Sefton</w:t>
            </w:r>
            <w:r w:rsidR="00C63485">
              <w:t xml:space="preserve"> as a whole.</w:t>
            </w:r>
          </w:p>
          <w:p w14:paraId="566DA5C8" w14:textId="77777777" w:rsidR="001F4894" w:rsidRDefault="001F4894" w:rsidP="0094459C"/>
          <w:p w14:paraId="314D6EF9" w14:textId="39F0655E" w:rsidR="00C63485" w:rsidRDefault="00C63485" w:rsidP="0094459C">
            <w:r>
              <w:t>It is essential, data and thorough, comprehensive documentation of client`s episodes are completed immediately after or during a consultation and are therefore, up to date.</w:t>
            </w:r>
          </w:p>
          <w:p w14:paraId="563B974E" w14:textId="34B57B71" w:rsidR="00C63485" w:rsidRPr="000853F1" w:rsidRDefault="00C63485" w:rsidP="0094459C"/>
        </w:tc>
      </w:tr>
      <w:tr w:rsidR="0094459C" w14:paraId="4CC14FEB" w14:textId="77777777" w:rsidTr="007B4DE6">
        <w:tc>
          <w:tcPr>
            <w:tcW w:w="10141" w:type="dxa"/>
            <w:shd w:val="clear" w:color="auto" w:fill="4472C4" w:themeFill="accent1"/>
          </w:tcPr>
          <w:p w14:paraId="2A6DAE37" w14:textId="7ADC06BD" w:rsidR="0094459C" w:rsidRPr="000853F1" w:rsidRDefault="007A78F7" w:rsidP="0094459C">
            <w:r w:rsidRPr="00756EC5">
              <w:rPr>
                <w:color w:val="FFFFFF" w:themeColor="background1"/>
              </w:rPr>
              <w:t>1</w:t>
            </w:r>
            <w:r w:rsidR="00AF199F" w:rsidRPr="00756EC5">
              <w:rPr>
                <w:color w:val="FFFFFF" w:themeColor="background1"/>
              </w:rPr>
              <w:t>0</w:t>
            </w:r>
            <w:r w:rsidR="00816627" w:rsidRPr="00756EC5">
              <w:rPr>
                <w:color w:val="FFFFFF" w:themeColor="background1"/>
              </w:rPr>
              <w:t>.</w:t>
            </w:r>
            <w:r w:rsidR="00C63485" w:rsidRPr="00756EC5">
              <w:rPr>
                <w:color w:val="FFFFFF" w:themeColor="background1"/>
              </w:rPr>
              <w:t>Carbon Monoxide (CO) Monitors</w:t>
            </w:r>
            <w:r w:rsidR="00A75FB5" w:rsidRPr="00756EC5">
              <w:rPr>
                <w:color w:val="FFFFFF" w:themeColor="background1"/>
              </w:rPr>
              <w:t xml:space="preserve"> (Option 2)</w:t>
            </w:r>
          </w:p>
        </w:tc>
      </w:tr>
      <w:tr w:rsidR="0094459C" w14:paraId="097045B3" w14:textId="77777777" w:rsidTr="007B4DE6">
        <w:tc>
          <w:tcPr>
            <w:tcW w:w="10141" w:type="dxa"/>
          </w:tcPr>
          <w:p w14:paraId="61778583" w14:textId="77777777" w:rsidR="00C63485" w:rsidRDefault="00C63485" w:rsidP="00C63485">
            <w:pPr>
              <w:rPr>
                <w:b/>
                <w:sz w:val="24"/>
                <w:szCs w:val="24"/>
              </w:rPr>
            </w:pPr>
          </w:p>
          <w:p w14:paraId="46F80C59" w14:textId="2180D278" w:rsidR="00C63485" w:rsidRDefault="00C63485" w:rsidP="00C63485">
            <w:pPr>
              <w:rPr>
                <w:color w:val="FF0000"/>
              </w:rPr>
            </w:pPr>
            <w:r>
              <w:t xml:space="preserve">CO monitors will be available for each pharmacy as their staff are trained and accredited as practitioners. Smokefree </w:t>
            </w:r>
            <w:r w:rsidR="00AE05A1">
              <w:t>Sefton</w:t>
            </w:r>
            <w:r>
              <w:t xml:space="preserve"> will be responsible for D pieces and mouthpieces, and other consumables. Replacement batteries must be supplied by the pharmacy.</w:t>
            </w:r>
          </w:p>
          <w:p w14:paraId="584A7EDE" w14:textId="3CF1E264" w:rsidR="00362BAA" w:rsidRDefault="00362BAA" w:rsidP="00C63485">
            <w:pPr>
              <w:rPr>
                <w:color w:val="FF0000"/>
              </w:rPr>
            </w:pPr>
          </w:p>
          <w:p w14:paraId="2686E4B4" w14:textId="460FA631" w:rsidR="00362BAA" w:rsidRPr="00750080" w:rsidRDefault="00362BAA" w:rsidP="00C63485">
            <w:pPr>
              <w:rPr>
                <w:b/>
                <w:bCs/>
                <w:color w:val="FF0000"/>
              </w:rPr>
            </w:pPr>
            <w:r w:rsidRPr="00750080">
              <w:rPr>
                <w:b/>
                <w:bCs/>
                <w:color w:val="FF0000"/>
              </w:rPr>
              <w:t>Pharmacy staff should contact Smokefree Sefton for replacement monitors.</w:t>
            </w:r>
            <w:r w:rsidR="00750080" w:rsidRPr="00750080">
              <w:rPr>
                <w:b/>
                <w:bCs/>
                <w:color w:val="FF0000"/>
              </w:rPr>
              <w:t xml:space="preserve"> Tel. 0300 100 1000</w:t>
            </w:r>
          </w:p>
          <w:p w14:paraId="03391491" w14:textId="77777777" w:rsidR="00362BAA" w:rsidRDefault="00362BAA" w:rsidP="00C63485">
            <w:pPr>
              <w:rPr>
                <w:color w:val="FF0000"/>
              </w:rPr>
            </w:pPr>
          </w:p>
          <w:p w14:paraId="479442C1" w14:textId="228922ED" w:rsidR="00741E1D" w:rsidRDefault="00C63485" w:rsidP="0094459C">
            <w:pPr>
              <w:rPr>
                <w:b/>
                <w:bCs/>
              </w:rPr>
            </w:pPr>
            <w:r w:rsidRPr="00BD6D42">
              <w:t>To ensure robust service validation and infection contro</w:t>
            </w:r>
            <w:r>
              <w:t xml:space="preserve">l, the Smokefree </w:t>
            </w:r>
            <w:r w:rsidR="009B3F1D">
              <w:t>Sefton</w:t>
            </w:r>
            <w:r>
              <w:t xml:space="preserve"> CO monitor protocol</w:t>
            </w:r>
            <w:r w:rsidRPr="00BD6D42">
              <w:t xml:space="preserve"> must be adhered to.</w:t>
            </w:r>
            <w:r w:rsidR="00A71A5B">
              <w:t xml:space="preserve"> </w:t>
            </w:r>
            <w:r w:rsidR="00A71A5B" w:rsidRPr="00A71A5B">
              <w:rPr>
                <w:b/>
                <w:bCs/>
              </w:rPr>
              <w:t>Appendix 3</w:t>
            </w:r>
          </w:p>
          <w:p w14:paraId="2F23BF57" w14:textId="497278E2" w:rsidR="00741E1D" w:rsidRPr="000853F1" w:rsidRDefault="00741E1D" w:rsidP="0094459C"/>
        </w:tc>
      </w:tr>
      <w:tr w:rsidR="00C63485" w14:paraId="691AA6B7" w14:textId="77777777" w:rsidTr="007B4DE6">
        <w:tc>
          <w:tcPr>
            <w:tcW w:w="10141" w:type="dxa"/>
            <w:shd w:val="clear" w:color="auto" w:fill="4472C4" w:themeFill="accent1"/>
          </w:tcPr>
          <w:p w14:paraId="7C0BBB3A" w14:textId="18652004" w:rsidR="00C63485" w:rsidRPr="000853F1" w:rsidRDefault="00816627" w:rsidP="0094459C">
            <w:r w:rsidRPr="00756EC5">
              <w:rPr>
                <w:color w:val="FFFFFF" w:themeColor="background1"/>
              </w:rPr>
              <w:t>1</w:t>
            </w:r>
            <w:r w:rsidR="00AF199F" w:rsidRPr="00756EC5">
              <w:rPr>
                <w:color w:val="FFFFFF" w:themeColor="background1"/>
              </w:rPr>
              <w:t>1</w:t>
            </w:r>
            <w:r w:rsidRPr="00756EC5">
              <w:rPr>
                <w:color w:val="FFFFFF" w:themeColor="background1"/>
              </w:rPr>
              <w:t>.</w:t>
            </w:r>
            <w:r w:rsidR="00467BA9" w:rsidRPr="00756EC5">
              <w:rPr>
                <w:color w:val="FFFFFF" w:themeColor="background1"/>
              </w:rPr>
              <w:t>Staffing (</w:t>
            </w:r>
            <w:r w:rsidR="00A75FB5" w:rsidRPr="00756EC5">
              <w:rPr>
                <w:color w:val="FFFFFF" w:themeColor="background1"/>
              </w:rPr>
              <w:t>Option 2)</w:t>
            </w:r>
          </w:p>
        </w:tc>
      </w:tr>
      <w:tr w:rsidR="00C63485" w14:paraId="01F4844E" w14:textId="77777777" w:rsidTr="007B4DE6">
        <w:tc>
          <w:tcPr>
            <w:tcW w:w="10141" w:type="dxa"/>
          </w:tcPr>
          <w:p w14:paraId="730C2430" w14:textId="77777777" w:rsidR="004A0539" w:rsidRDefault="004A0539" w:rsidP="004A0539">
            <w:pPr>
              <w:rPr>
                <w:bCs/>
              </w:rPr>
            </w:pPr>
          </w:p>
          <w:p w14:paraId="795811D7" w14:textId="6C19D0C2" w:rsidR="005E119E" w:rsidRDefault="004A0539" w:rsidP="004A0539">
            <w:pPr>
              <w:rPr>
                <w:bCs/>
              </w:rPr>
            </w:pPr>
            <w:r>
              <w:rPr>
                <w:bCs/>
              </w:rPr>
              <w:t>To ensure continuity of service provision, the pharmacy should have a minimum of 2 staff trained. This will allow to facilitate cover when periods of sickness and annual leave occur</w:t>
            </w:r>
            <w:r w:rsidR="005E119E">
              <w:rPr>
                <w:bCs/>
              </w:rPr>
              <w:t>,</w:t>
            </w:r>
            <w:r>
              <w:rPr>
                <w:bCs/>
              </w:rPr>
              <w:t xml:space="preserve"> </w:t>
            </w:r>
            <w:r w:rsidR="005E119E">
              <w:rPr>
                <w:bCs/>
              </w:rPr>
              <w:t>i</w:t>
            </w:r>
            <w:r>
              <w:rPr>
                <w:bCs/>
              </w:rPr>
              <w:t>t will also provide internal peer support.</w:t>
            </w:r>
            <w:r w:rsidR="005E119E">
              <w:rPr>
                <w:bCs/>
              </w:rPr>
              <w:t xml:space="preserve"> </w:t>
            </w:r>
          </w:p>
          <w:p w14:paraId="602E8833" w14:textId="77777777" w:rsidR="00FF6A4F" w:rsidRDefault="00FF6A4F" w:rsidP="004A0539">
            <w:pPr>
              <w:rPr>
                <w:bCs/>
              </w:rPr>
            </w:pPr>
          </w:p>
          <w:p w14:paraId="54316150" w14:textId="75680B4D" w:rsidR="00FF6A4F" w:rsidRDefault="00FF6A4F" w:rsidP="004A0539">
            <w:pPr>
              <w:rPr>
                <w:bCs/>
              </w:rPr>
            </w:pPr>
            <w:r>
              <w:rPr>
                <w:bCs/>
              </w:rPr>
              <w:lastRenderedPageBreak/>
              <w:t>It is accepted that independent pharmacies may have restricted staffing levels. In these instances, 1 staff member can be trained. In circumstances such as sickness or holidays, clients can be transferred to Smokefree Sefton for support during those times.</w:t>
            </w:r>
          </w:p>
          <w:p w14:paraId="356A811D" w14:textId="77777777" w:rsidR="005E119E" w:rsidRDefault="005E119E" w:rsidP="004A0539">
            <w:pPr>
              <w:rPr>
                <w:bCs/>
              </w:rPr>
            </w:pPr>
          </w:p>
          <w:p w14:paraId="0E7C7853" w14:textId="6DB8C8CA" w:rsidR="005E119E" w:rsidRDefault="005E119E" w:rsidP="004A0539">
            <w:pPr>
              <w:rPr>
                <w:bCs/>
              </w:rPr>
            </w:pPr>
            <w:r>
              <w:rPr>
                <w:bCs/>
              </w:rPr>
              <w:t>It is acknowledged that some pharmacies may have difficulty providing this level of trained staff, in the circumstances ABL Health may negotiate alternative cover.</w:t>
            </w:r>
            <w:r w:rsidR="00B96340">
              <w:rPr>
                <w:bCs/>
              </w:rPr>
              <w:t xml:space="preserve"> In addition, if </w:t>
            </w:r>
            <w:r w:rsidR="00B96340">
              <w:t>a contracted pharmacy cannot provide a service for a period of more than 3 months, whatever the reason may be, the pharmacist must inform the Smokefree Sefton pharmacy lead:</w:t>
            </w:r>
            <w:r w:rsidR="00750080">
              <w:rPr>
                <w:bCs/>
              </w:rPr>
              <w:t xml:space="preserve"> </w:t>
            </w:r>
            <w:bookmarkStart w:id="0" w:name="_Hlk161732486"/>
            <w:r w:rsidR="001F4894" w:rsidRPr="001F4894">
              <w:rPr>
                <w:bCs/>
                <w:color w:val="0070C0"/>
              </w:rPr>
              <w:t>m</w:t>
            </w:r>
            <w:r w:rsidR="001F4894" w:rsidRPr="001F4894">
              <w:rPr>
                <w:rFonts w:ascii="Calibri" w:hAnsi="Calibri" w:cs="Calibri"/>
                <w:color w:val="0070C0"/>
                <w:shd w:val="clear" w:color="auto" w:fill="FFFFFF"/>
              </w:rPr>
              <w:t>mierzwa@ablhealth.co.uk</w:t>
            </w:r>
            <w:bookmarkEnd w:id="0"/>
          </w:p>
          <w:p w14:paraId="3E7AA40E" w14:textId="6B799262" w:rsidR="004A0539" w:rsidRPr="000853F1" w:rsidRDefault="004A0539" w:rsidP="0094459C"/>
        </w:tc>
      </w:tr>
      <w:tr w:rsidR="00C63485" w14:paraId="47452623" w14:textId="77777777" w:rsidTr="007B4DE6">
        <w:tc>
          <w:tcPr>
            <w:tcW w:w="10141" w:type="dxa"/>
            <w:shd w:val="clear" w:color="auto" w:fill="4472C4" w:themeFill="accent1"/>
          </w:tcPr>
          <w:p w14:paraId="1EA1FBCA" w14:textId="1B00263C" w:rsidR="00C63485" w:rsidRPr="000853F1" w:rsidRDefault="00816627" w:rsidP="0094459C">
            <w:r w:rsidRPr="00756EC5">
              <w:rPr>
                <w:color w:val="FFFFFF" w:themeColor="background1"/>
              </w:rPr>
              <w:lastRenderedPageBreak/>
              <w:t>1</w:t>
            </w:r>
            <w:r w:rsidR="00AF199F" w:rsidRPr="00756EC5">
              <w:rPr>
                <w:color w:val="FFFFFF" w:themeColor="background1"/>
              </w:rPr>
              <w:t>2</w:t>
            </w:r>
            <w:r w:rsidRPr="00756EC5">
              <w:rPr>
                <w:color w:val="FFFFFF" w:themeColor="background1"/>
              </w:rPr>
              <w:t>.</w:t>
            </w:r>
            <w:r w:rsidR="0081303B" w:rsidRPr="00756EC5">
              <w:rPr>
                <w:color w:val="FFFFFF" w:themeColor="background1"/>
              </w:rPr>
              <w:t>Significant event recording</w:t>
            </w:r>
          </w:p>
        </w:tc>
      </w:tr>
      <w:tr w:rsidR="00C63485" w14:paraId="7A5EC11F" w14:textId="77777777" w:rsidTr="007B4DE6">
        <w:tc>
          <w:tcPr>
            <w:tcW w:w="10141" w:type="dxa"/>
          </w:tcPr>
          <w:p w14:paraId="5271B343" w14:textId="77777777" w:rsidR="0057724F" w:rsidRDefault="0057724F" w:rsidP="0081303B"/>
          <w:p w14:paraId="4B3C6E69" w14:textId="49CCD770" w:rsidR="0081303B" w:rsidRDefault="0081303B" w:rsidP="0081303B">
            <w:r w:rsidRPr="00E06F6A">
              <w:t xml:space="preserve">The </w:t>
            </w:r>
            <w:r w:rsidR="002730AE">
              <w:t>p</w:t>
            </w:r>
            <w:r w:rsidRPr="00E06F6A">
              <w:t>harmacy</w:t>
            </w:r>
            <w:r>
              <w:t xml:space="preserve"> must have a significant event reporting system in place. This must contain a log of patient safety incidents.</w:t>
            </w:r>
          </w:p>
          <w:p w14:paraId="6A5A2E1F" w14:textId="77777777" w:rsidR="005E119E" w:rsidRDefault="005E119E" w:rsidP="0081303B"/>
          <w:p w14:paraId="72B4E405" w14:textId="47CDC9C2" w:rsidR="00B960F9" w:rsidRDefault="0081303B" w:rsidP="0094459C">
            <w:r>
              <w:t>Any incidents regarding Stop Smoking Service delivery must be reported</w:t>
            </w:r>
            <w:r w:rsidR="00FD780C">
              <w:t xml:space="preserve"> immediately, in writing</w:t>
            </w:r>
            <w:r w:rsidR="00532531">
              <w:t xml:space="preserve"> by</w:t>
            </w:r>
            <w:r w:rsidR="00F4107B">
              <w:t xml:space="preserve"> secure email</w:t>
            </w:r>
            <w:r>
              <w:t xml:space="preserve"> to the Smokefree </w:t>
            </w:r>
            <w:r w:rsidR="00AE05A1">
              <w:t>Sefton</w:t>
            </w:r>
            <w:r>
              <w:t xml:space="preserve"> service manage</w:t>
            </w:r>
            <w:r w:rsidR="00CA0E24">
              <w:t>r,</w:t>
            </w:r>
            <w:r w:rsidR="00726311">
              <w:t xml:space="preserve"> </w:t>
            </w:r>
            <w:hyperlink r:id="rId14" w:history="1">
              <w:r w:rsidR="00CA0E24" w:rsidRPr="00EC5439">
                <w:rPr>
                  <w:rStyle w:val="Hyperlink"/>
                </w:rPr>
                <w:t>smokefree.sefton@nhs.net</w:t>
              </w:r>
            </w:hyperlink>
            <w:r w:rsidR="00CA0E24">
              <w:t xml:space="preserve"> </w:t>
            </w:r>
            <w:r w:rsidR="00F4107B">
              <w:t xml:space="preserve"> </w:t>
            </w:r>
            <w:r w:rsidR="00B15107">
              <w:t xml:space="preserve">This will then be processed as per ABL Health </w:t>
            </w:r>
            <w:r w:rsidR="00E96366">
              <w:t>governance procedures.</w:t>
            </w:r>
          </w:p>
          <w:p w14:paraId="42D4D792" w14:textId="6DDDD803" w:rsidR="0057724F" w:rsidRPr="000853F1" w:rsidRDefault="0057724F" w:rsidP="0094459C"/>
        </w:tc>
      </w:tr>
      <w:tr w:rsidR="0081303B" w14:paraId="047CBAEA" w14:textId="77777777" w:rsidTr="007B4DE6">
        <w:tc>
          <w:tcPr>
            <w:tcW w:w="10141" w:type="dxa"/>
            <w:shd w:val="clear" w:color="auto" w:fill="4472C4" w:themeFill="accent1"/>
          </w:tcPr>
          <w:p w14:paraId="26B83958" w14:textId="048941D7" w:rsidR="0081303B" w:rsidRPr="00BD2ABE" w:rsidRDefault="00816627" w:rsidP="0081303B">
            <w:r w:rsidRPr="00A52A3B">
              <w:rPr>
                <w:color w:val="FFFFFF" w:themeColor="background1"/>
              </w:rPr>
              <w:t>1</w:t>
            </w:r>
            <w:r w:rsidR="00467BA9" w:rsidRPr="00A52A3B">
              <w:rPr>
                <w:color w:val="FFFFFF" w:themeColor="background1"/>
              </w:rPr>
              <w:t>3</w:t>
            </w:r>
            <w:r w:rsidRPr="00A52A3B">
              <w:rPr>
                <w:color w:val="FFFFFF" w:themeColor="background1"/>
              </w:rPr>
              <w:t>.</w:t>
            </w:r>
            <w:r w:rsidR="008918DC" w:rsidRPr="00A52A3B">
              <w:rPr>
                <w:color w:val="FFFFFF" w:themeColor="background1"/>
              </w:rPr>
              <w:t>Financial</w:t>
            </w:r>
          </w:p>
        </w:tc>
      </w:tr>
      <w:tr w:rsidR="0081303B" w14:paraId="75C8AE15" w14:textId="77777777" w:rsidTr="007B4DE6">
        <w:tc>
          <w:tcPr>
            <w:tcW w:w="10141" w:type="dxa"/>
          </w:tcPr>
          <w:p w14:paraId="0613B11B" w14:textId="66249BC1" w:rsidR="008918DC" w:rsidRPr="00BD251B" w:rsidRDefault="008918DC" w:rsidP="008918DC">
            <w:r w:rsidRPr="00BD251B">
              <w:t xml:space="preserve">ABL Health Ltd will pay the pharmacists in accordance </w:t>
            </w:r>
            <w:proofErr w:type="gramStart"/>
            <w:r w:rsidRPr="00BD251B">
              <w:t>to</w:t>
            </w:r>
            <w:proofErr w:type="gramEnd"/>
            <w:r w:rsidRPr="00BD251B">
              <w:t xml:space="preserve"> the payment schedule outlined below</w:t>
            </w:r>
            <w:r w:rsidR="00016B25">
              <w:t xml:space="preserve"> and in accordance to their specified agreement option</w:t>
            </w:r>
            <w:r w:rsidR="00D93498">
              <w:t xml:space="preserve">. </w:t>
            </w:r>
            <w:proofErr w:type="spellStart"/>
            <w:r w:rsidR="00D93498">
              <w:t>Pharmoutcomes</w:t>
            </w:r>
            <w:proofErr w:type="spellEnd"/>
            <w:r w:rsidR="00D93498">
              <w:t xml:space="preserve"> should generate an invoice to ABL Health for their monthly activity. Activity must be kept up to date on </w:t>
            </w:r>
            <w:proofErr w:type="spellStart"/>
            <w:r w:rsidR="004E2C39">
              <w:t>P</w:t>
            </w:r>
            <w:r w:rsidR="00D93498">
              <w:t>harm</w:t>
            </w:r>
            <w:r w:rsidR="004E2C39">
              <w:t>O</w:t>
            </w:r>
            <w:r w:rsidR="00D93498">
              <w:t>utcomes</w:t>
            </w:r>
            <w:proofErr w:type="spellEnd"/>
            <w:r w:rsidR="00D93498">
              <w:t xml:space="preserve"> to ensure prompt submission and payment. Data submitted late could result in late payments. Invoices submitted at the end of each month will be paid</w:t>
            </w:r>
            <w:r w:rsidRPr="00BD251B">
              <w:t xml:space="preserve"> by BACS transfer</w:t>
            </w:r>
            <w:r w:rsidR="00362BAA">
              <w:t>, reimbursement will be within 30 days of receipt of invoices.</w:t>
            </w:r>
          </w:p>
          <w:p w14:paraId="3C7E0F35" w14:textId="2B80F1EF" w:rsidR="008918DC" w:rsidRDefault="00B127EB" w:rsidP="008918DC">
            <w:pPr>
              <w:rPr>
                <w:b/>
                <w:bCs/>
              </w:rPr>
            </w:pPr>
            <w:r>
              <w:rPr>
                <w:b/>
                <w:bCs/>
              </w:rPr>
              <w:t>Payments will be reviewed annually.</w:t>
            </w:r>
          </w:p>
          <w:p w14:paraId="228531E3" w14:textId="09DCA071" w:rsidR="00756EC5" w:rsidRDefault="008918DC" w:rsidP="008918DC">
            <w:r w:rsidRPr="00860DDE">
              <w:t xml:space="preserve">Pharmacists </w:t>
            </w:r>
            <w:proofErr w:type="gramStart"/>
            <w:r w:rsidRPr="00860DDE">
              <w:t>are able to</w:t>
            </w:r>
            <w:proofErr w:type="gramEnd"/>
            <w:r w:rsidRPr="00860DDE">
              <w:t xml:space="preserve"> provide smoking cessation on payment by results </w:t>
            </w:r>
            <w:r>
              <w:t>for</w:t>
            </w:r>
            <w:r w:rsidRPr="00860DDE">
              <w:t xml:space="preserve"> a 4</w:t>
            </w:r>
            <w:r w:rsidR="00A97D9D">
              <w:t>-</w:t>
            </w:r>
            <w:r>
              <w:t>week</w:t>
            </w:r>
            <w:r w:rsidR="00016B25">
              <w:t xml:space="preserve"> quit</w:t>
            </w:r>
            <w:r>
              <w:t>. There will be an additional payment for achieving a 12-</w:t>
            </w:r>
            <w:r w:rsidRPr="00860DDE">
              <w:t xml:space="preserve"> week quit status:</w:t>
            </w:r>
          </w:p>
          <w:p w14:paraId="480F38ED" w14:textId="5578895D" w:rsidR="008918DC" w:rsidRPr="00F44429" w:rsidRDefault="00F44429" w:rsidP="008918DC">
            <w:pPr>
              <w:rPr>
                <w:b/>
                <w:bCs/>
              </w:rPr>
            </w:pPr>
            <w:r w:rsidRPr="00F44429">
              <w:rPr>
                <w:b/>
                <w:bCs/>
              </w:rPr>
              <w:t>Option 1</w:t>
            </w:r>
          </w:p>
          <w:tbl>
            <w:tblPr>
              <w:tblStyle w:val="TableGrid"/>
              <w:tblW w:w="0" w:type="auto"/>
              <w:tblLook w:val="04A0" w:firstRow="1" w:lastRow="0" w:firstColumn="1" w:lastColumn="0" w:noHBand="0" w:noVBand="1"/>
            </w:tblPr>
            <w:tblGrid>
              <w:gridCol w:w="1780"/>
              <w:gridCol w:w="1080"/>
            </w:tblGrid>
            <w:tr w:rsidR="00D93498" w14:paraId="3D1AE40A" w14:textId="77777777" w:rsidTr="00D93498">
              <w:tc>
                <w:tcPr>
                  <w:tcW w:w="1780" w:type="dxa"/>
                </w:tcPr>
                <w:p w14:paraId="3F842D11" w14:textId="139AAA82" w:rsidR="00D93498" w:rsidRDefault="00D93498" w:rsidP="008918DC">
                  <w:pPr>
                    <w:rPr>
                      <w:b/>
                      <w:bCs/>
                    </w:rPr>
                  </w:pPr>
                  <w:r>
                    <w:rPr>
                      <w:b/>
                      <w:bCs/>
                    </w:rPr>
                    <w:t>Activity</w:t>
                  </w:r>
                </w:p>
              </w:tc>
              <w:tc>
                <w:tcPr>
                  <w:tcW w:w="1080" w:type="dxa"/>
                </w:tcPr>
                <w:p w14:paraId="4CC1AD1C" w14:textId="10AEF909" w:rsidR="00D93498" w:rsidRDefault="00D93498" w:rsidP="008918DC">
                  <w:pPr>
                    <w:rPr>
                      <w:b/>
                      <w:bCs/>
                    </w:rPr>
                  </w:pPr>
                  <w:r>
                    <w:rPr>
                      <w:b/>
                      <w:bCs/>
                    </w:rPr>
                    <w:t>Tariff</w:t>
                  </w:r>
                </w:p>
              </w:tc>
            </w:tr>
            <w:tr w:rsidR="00D93498" w14:paraId="4536FA06" w14:textId="77777777" w:rsidTr="00D93498">
              <w:tc>
                <w:tcPr>
                  <w:tcW w:w="1780" w:type="dxa"/>
                </w:tcPr>
                <w:p w14:paraId="4BAB1771" w14:textId="6802F450" w:rsidR="00D93498" w:rsidRDefault="00D93498" w:rsidP="008918DC">
                  <w:pPr>
                    <w:rPr>
                      <w:b/>
                      <w:bCs/>
                    </w:rPr>
                  </w:pPr>
                  <w:r>
                    <w:rPr>
                      <w:b/>
                      <w:bCs/>
                    </w:rPr>
                    <w:t>NRT supply only</w:t>
                  </w:r>
                  <w:r w:rsidR="00FF6A4F">
                    <w:rPr>
                      <w:b/>
                      <w:bCs/>
                    </w:rPr>
                    <w:t xml:space="preserve">, each dispense </w:t>
                  </w:r>
                </w:p>
              </w:tc>
              <w:tc>
                <w:tcPr>
                  <w:tcW w:w="1080" w:type="dxa"/>
                </w:tcPr>
                <w:p w14:paraId="7DAF32A6" w14:textId="2AD45EEB" w:rsidR="00D93498" w:rsidRDefault="00D93498" w:rsidP="008918DC">
                  <w:pPr>
                    <w:rPr>
                      <w:b/>
                      <w:bCs/>
                    </w:rPr>
                  </w:pPr>
                  <w:r>
                    <w:rPr>
                      <w:rFonts w:cstheme="minorHAnsi"/>
                      <w:b/>
                      <w:bCs/>
                    </w:rPr>
                    <w:t>£</w:t>
                  </w:r>
                  <w:r w:rsidR="00A75FB5">
                    <w:rPr>
                      <w:rFonts w:cstheme="minorHAnsi"/>
                      <w:b/>
                      <w:bCs/>
                    </w:rPr>
                    <w:t>3.</w:t>
                  </w:r>
                  <w:r w:rsidR="00B96340">
                    <w:rPr>
                      <w:rFonts w:cstheme="minorHAnsi"/>
                      <w:b/>
                      <w:bCs/>
                    </w:rPr>
                    <w:t>5</w:t>
                  </w:r>
                  <w:r w:rsidR="00A75FB5">
                    <w:rPr>
                      <w:rFonts w:cstheme="minorHAnsi"/>
                      <w:b/>
                      <w:bCs/>
                    </w:rPr>
                    <w:t>0p</w:t>
                  </w:r>
                </w:p>
              </w:tc>
            </w:tr>
          </w:tbl>
          <w:p w14:paraId="6F79CB1C" w14:textId="6C802502" w:rsidR="00A52A3B" w:rsidRDefault="00F44429" w:rsidP="008918DC">
            <w:pPr>
              <w:rPr>
                <w:b/>
                <w:bCs/>
              </w:rPr>
            </w:pPr>
            <w:r>
              <w:rPr>
                <w:b/>
                <w:bCs/>
              </w:rPr>
              <w:t xml:space="preserve">Pharmacotherapy products (NRT) will be reimbursed at the current NHS </w:t>
            </w:r>
            <w:r w:rsidR="00B127EB">
              <w:rPr>
                <w:b/>
                <w:bCs/>
              </w:rPr>
              <w:t xml:space="preserve">Drug </w:t>
            </w:r>
            <w:r>
              <w:rPr>
                <w:b/>
                <w:bCs/>
              </w:rPr>
              <w:t>tariff plus 5% vat.</w:t>
            </w:r>
          </w:p>
          <w:p w14:paraId="01A1103C" w14:textId="65D98CDF" w:rsidR="00A52A3B" w:rsidRDefault="00A52A3B" w:rsidP="008918DC">
            <w:pPr>
              <w:rPr>
                <w:b/>
                <w:bCs/>
              </w:rPr>
            </w:pPr>
            <w:r>
              <w:rPr>
                <w:b/>
                <w:bCs/>
              </w:rPr>
              <w:t>Clients who choose to use their own self-purchased vape (NCP) and have completely stopped smoking with support from the pharmacist can be included in the payment schedule:</w:t>
            </w:r>
          </w:p>
          <w:p w14:paraId="43637E66" w14:textId="77777777" w:rsidR="005D46CD" w:rsidRDefault="005D46CD" w:rsidP="008918DC">
            <w:pPr>
              <w:rPr>
                <w:b/>
                <w:bCs/>
              </w:rPr>
            </w:pPr>
          </w:p>
          <w:p w14:paraId="216319FC" w14:textId="1AF880AD" w:rsidR="00A52A3B" w:rsidRDefault="00F44429" w:rsidP="008918DC">
            <w:pPr>
              <w:rPr>
                <w:b/>
                <w:bCs/>
              </w:rPr>
            </w:pPr>
            <w:r>
              <w:rPr>
                <w:b/>
                <w:bCs/>
              </w:rPr>
              <w:t>Option 2 – Level 2 Smoking Cessation Service</w:t>
            </w:r>
          </w:p>
          <w:tbl>
            <w:tblPr>
              <w:tblStyle w:val="TableGrid"/>
              <w:tblW w:w="0" w:type="auto"/>
              <w:tblLook w:val="04A0" w:firstRow="1" w:lastRow="0" w:firstColumn="1" w:lastColumn="0" w:noHBand="0" w:noVBand="1"/>
            </w:tblPr>
            <w:tblGrid>
              <w:gridCol w:w="2680"/>
              <w:gridCol w:w="1080"/>
            </w:tblGrid>
            <w:tr w:rsidR="00F44429" w14:paraId="0EC18EDB" w14:textId="77777777" w:rsidTr="2F6A3267">
              <w:tc>
                <w:tcPr>
                  <w:tcW w:w="2680" w:type="dxa"/>
                </w:tcPr>
                <w:p w14:paraId="6DAEFBFB" w14:textId="792B8C8B" w:rsidR="00F44429" w:rsidRDefault="00F44429" w:rsidP="008918DC">
                  <w:pPr>
                    <w:rPr>
                      <w:b/>
                      <w:bCs/>
                    </w:rPr>
                  </w:pPr>
                  <w:r>
                    <w:rPr>
                      <w:b/>
                      <w:bCs/>
                    </w:rPr>
                    <w:t>Activity</w:t>
                  </w:r>
                </w:p>
              </w:tc>
              <w:tc>
                <w:tcPr>
                  <w:tcW w:w="1080" w:type="dxa"/>
                </w:tcPr>
                <w:p w14:paraId="6D05B36F" w14:textId="4880615D" w:rsidR="00F44429" w:rsidRDefault="00F44429" w:rsidP="008918DC">
                  <w:pPr>
                    <w:rPr>
                      <w:b/>
                      <w:bCs/>
                    </w:rPr>
                  </w:pPr>
                  <w:r>
                    <w:rPr>
                      <w:b/>
                      <w:bCs/>
                    </w:rPr>
                    <w:t>Tariff</w:t>
                  </w:r>
                </w:p>
              </w:tc>
            </w:tr>
            <w:tr w:rsidR="0082321E" w14:paraId="613F1A2F" w14:textId="77777777" w:rsidTr="2F6A3267">
              <w:tc>
                <w:tcPr>
                  <w:tcW w:w="2680" w:type="dxa"/>
                </w:tcPr>
                <w:p w14:paraId="517C8876" w14:textId="30E48494" w:rsidR="0082321E" w:rsidRDefault="004966BD" w:rsidP="008918DC">
                  <w:pPr>
                    <w:rPr>
                      <w:b/>
                      <w:bCs/>
                    </w:rPr>
                  </w:pPr>
                  <w:r w:rsidRPr="2F6A3267">
                    <w:rPr>
                      <w:b/>
                      <w:bCs/>
                    </w:rPr>
                    <w:t>Clients S</w:t>
                  </w:r>
                  <w:r w:rsidR="272F03C7" w:rsidRPr="2F6A3267">
                    <w:rPr>
                      <w:b/>
                      <w:bCs/>
                    </w:rPr>
                    <w:t>etting a Quit date</w:t>
                  </w:r>
                </w:p>
              </w:tc>
              <w:tc>
                <w:tcPr>
                  <w:tcW w:w="1080" w:type="dxa"/>
                </w:tcPr>
                <w:p w14:paraId="318BF4E7" w14:textId="458EE450" w:rsidR="0082321E" w:rsidRDefault="004966BD" w:rsidP="008918DC">
                  <w:pPr>
                    <w:rPr>
                      <w:rFonts w:cstheme="minorHAnsi"/>
                      <w:b/>
                      <w:bCs/>
                    </w:rPr>
                  </w:pPr>
                  <w:r>
                    <w:rPr>
                      <w:rFonts w:cstheme="minorHAnsi"/>
                      <w:b/>
                      <w:bCs/>
                    </w:rPr>
                    <w:t>£</w:t>
                  </w:r>
                  <w:r w:rsidR="00B96340">
                    <w:rPr>
                      <w:rFonts w:cstheme="minorHAnsi"/>
                      <w:b/>
                      <w:bCs/>
                    </w:rPr>
                    <w:t>25</w:t>
                  </w:r>
                  <w:r w:rsidR="006652A2">
                    <w:rPr>
                      <w:rFonts w:cstheme="minorHAnsi"/>
                      <w:b/>
                      <w:bCs/>
                    </w:rPr>
                    <w:t>.00</w:t>
                  </w:r>
                </w:p>
              </w:tc>
            </w:tr>
            <w:tr w:rsidR="00F44429" w14:paraId="52D2E4F1" w14:textId="77777777" w:rsidTr="2F6A3267">
              <w:tc>
                <w:tcPr>
                  <w:tcW w:w="2680" w:type="dxa"/>
                </w:tcPr>
                <w:p w14:paraId="32921FD5" w14:textId="6826AFFA" w:rsidR="00F44429" w:rsidRDefault="00F44429" w:rsidP="008918DC">
                  <w:pPr>
                    <w:rPr>
                      <w:b/>
                      <w:bCs/>
                    </w:rPr>
                  </w:pPr>
                  <w:r>
                    <w:rPr>
                      <w:b/>
                      <w:bCs/>
                    </w:rPr>
                    <w:t>4-week CO validated Quit</w:t>
                  </w:r>
                </w:p>
              </w:tc>
              <w:tc>
                <w:tcPr>
                  <w:tcW w:w="1080" w:type="dxa"/>
                </w:tcPr>
                <w:p w14:paraId="2ADBF1AB" w14:textId="4668EBC6" w:rsidR="00F44429" w:rsidRDefault="00F44429" w:rsidP="008918DC">
                  <w:pPr>
                    <w:rPr>
                      <w:b/>
                      <w:bCs/>
                    </w:rPr>
                  </w:pPr>
                  <w:r>
                    <w:rPr>
                      <w:rFonts w:cstheme="minorHAnsi"/>
                      <w:b/>
                      <w:bCs/>
                    </w:rPr>
                    <w:t>£</w:t>
                  </w:r>
                  <w:r w:rsidR="00B96340">
                    <w:rPr>
                      <w:rFonts w:cstheme="minorHAnsi"/>
                      <w:b/>
                      <w:bCs/>
                    </w:rPr>
                    <w:t>45</w:t>
                  </w:r>
                  <w:r w:rsidR="00CB5EB2">
                    <w:rPr>
                      <w:rFonts w:cstheme="minorHAnsi"/>
                      <w:b/>
                      <w:bCs/>
                    </w:rPr>
                    <w:t>.</w:t>
                  </w:r>
                  <w:r>
                    <w:rPr>
                      <w:b/>
                      <w:bCs/>
                    </w:rPr>
                    <w:t>00</w:t>
                  </w:r>
                </w:p>
              </w:tc>
            </w:tr>
            <w:tr w:rsidR="00F44429" w14:paraId="3D28526D" w14:textId="77777777" w:rsidTr="2F6A3267">
              <w:tc>
                <w:tcPr>
                  <w:tcW w:w="2680" w:type="dxa"/>
                </w:tcPr>
                <w:p w14:paraId="7FA5D7C0" w14:textId="3BFDD761" w:rsidR="00F44429" w:rsidRDefault="00A115B7" w:rsidP="008918DC">
                  <w:pPr>
                    <w:rPr>
                      <w:b/>
                      <w:bCs/>
                    </w:rPr>
                  </w:pPr>
                  <w:r>
                    <w:rPr>
                      <w:b/>
                      <w:bCs/>
                    </w:rPr>
                    <w:t>4-week self-reported Quit</w:t>
                  </w:r>
                </w:p>
              </w:tc>
              <w:tc>
                <w:tcPr>
                  <w:tcW w:w="1080" w:type="dxa"/>
                </w:tcPr>
                <w:p w14:paraId="1852D7AA" w14:textId="5B6CC6DB" w:rsidR="00F44429" w:rsidRDefault="00A115B7" w:rsidP="008918DC">
                  <w:pPr>
                    <w:rPr>
                      <w:b/>
                      <w:bCs/>
                    </w:rPr>
                  </w:pPr>
                  <w:r>
                    <w:rPr>
                      <w:rFonts w:cstheme="minorHAnsi"/>
                      <w:b/>
                      <w:bCs/>
                    </w:rPr>
                    <w:t>£</w:t>
                  </w:r>
                  <w:r w:rsidR="00B96340">
                    <w:rPr>
                      <w:rFonts w:cstheme="minorHAnsi"/>
                      <w:b/>
                      <w:bCs/>
                    </w:rPr>
                    <w:t>35</w:t>
                  </w:r>
                  <w:r>
                    <w:rPr>
                      <w:b/>
                      <w:bCs/>
                    </w:rPr>
                    <w:t>.00</w:t>
                  </w:r>
                </w:p>
              </w:tc>
            </w:tr>
            <w:tr w:rsidR="00F44429" w14:paraId="1A64205A" w14:textId="77777777" w:rsidTr="2F6A3267">
              <w:tc>
                <w:tcPr>
                  <w:tcW w:w="2680" w:type="dxa"/>
                </w:tcPr>
                <w:p w14:paraId="4EEEE5E1" w14:textId="2DEE4958" w:rsidR="00F44429" w:rsidRDefault="00A115B7" w:rsidP="008918DC">
                  <w:pPr>
                    <w:rPr>
                      <w:b/>
                      <w:bCs/>
                    </w:rPr>
                  </w:pPr>
                  <w:r>
                    <w:rPr>
                      <w:b/>
                      <w:bCs/>
                    </w:rPr>
                    <w:t>An additional payment for a 12-week CO validated Quit</w:t>
                  </w:r>
                </w:p>
              </w:tc>
              <w:tc>
                <w:tcPr>
                  <w:tcW w:w="1080" w:type="dxa"/>
                </w:tcPr>
                <w:p w14:paraId="3DF5D11D" w14:textId="6CAB9F3C" w:rsidR="00F44429" w:rsidRDefault="00A115B7" w:rsidP="008918DC">
                  <w:pPr>
                    <w:rPr>
                      <w:b/>
                      <w:bCs/>
                    </w:rPr>
                  </w:pPr>
                  <w:r>
                    <w:rPr>
                      <w:rFonts w:cstheme="minorHAnsi"/>
                      <w:b/>
                      <w:bCs/>
                    </w:rPr>
                    <w:t>£</w:t>
                  </w:r>
                  <w:r w:rsidR="00B96340">
                    <w:rPr>
                      <w:rFonts w:cstheme="minorHAnsi"/>
                      <w:b/>
                      <w:bCs/>
                    </w:rPr>
                    <w:t>30</w:t>
                  </w:r>
                  <w:r>
                    <w:rPr>
                      <w:b/>
                      <w:bCs/>
                    </w:rPr>
                    <w:t>.00</w:t>
                  </w:r>
                </w:p>
              </w:tc>
            </w:tr>
            <w:tr w:rsidR="00F44429" w14:paraId="19A4EB1D" w14:textId="77777777" w:rsidTr="2F6A3267">
              <w:tc>
                <w:tcPr>
                  <w:tcW w:w="2680" w:type="dxa"/>
                </w:tcPr>
                <w:p w14:paraId="0E39D5DE" w14:textId="60C82321" w:rsidR="00F44429" w:rsidRDefault="00A115B7" w:rsidP="008918DC">
                  <w:pPr>
                    <w:rPr>
                      <w:b/>
                      <w:bCs/>
                    </w:rPr>
                  </w:pPr>
                  <w:r>
                    <w:rPr>
                      <w:b/>
                      <w:bCs/>
                    </w:rPr>
                    <w:t xml:space="preserve">NRT Supply </w:t>
                  </w:r>
                  <w:r w:rsidR="00FF6A4F">
                    <w:rPr>
                      <w:b/>
                      <w:bCs/>
                    </w:rPr>
                    <w:t xml:space="preserve">each dispense </w:t>
                  </w:r>
                </w:p>
              </w:tc>
              <w:tc>
                <w:tcPr>
                  <w:tcW w:w="1080" w:type="dxa"/>
                </w:tcPr>
                <w:p w14:paraId="5BCE6FD3" w14:textId="58F8C756" w:rsidR="00F44429" w:rsidRDefault="00A115B7" w:rsidP="008918DC">
                  <w:pPr>
                    <w:rPr>
                      <w:b/>
                      <w:bCs/>
                    </w:rPr>
                  </w:pPr>
                  <w:r>
                    <w:rPr>
                      <w:rFonts w:cstheme="minorHAnsi"/>
                      <w:b/>
                      <w:bCs/>
                    </w:rPr>
                    <w:t>£</w:t>
                  </w:r>
                  <w:r w:rsidR="00A75FB5">
                    <w:rPr>
                      <w:rFonts w:cstheme="minorHAnsi"/>
                      <w:b/>
                      <w:bCs/>
                    </w:rPr>
                    <w:t>3.</w:t>
                  </w:r>
                  <w:r w:rsidR="00B96340">
                    <w:rPr>
                      <w:rFonts w:cstheme="minorHAnsi"/>
                      <w:b/>
                      <w:bCs/>
                    </w:rPr>
                    <w:t>5</w:t>
                  </w:r>
                  <w:r w:rsidR="00A75FB5">
                    <w:rPr>
                      <w:rFonts w:cstheme="minorHAnsi"/>
                      <w:b/>
                      <w:bCs/>
                    </w:rPr>
                    <w:t>0p</w:t>
                  </w:r>
                </w:p>
              </w:tc>
            </w:tr>
          </w:tbl>
          <w:p w14:paraId="0A4E49EB" w14:textId="787676E3" w:rsidR="00A115B7" w:rsidRDefault="00A115B7" w:rsidP="008918DC">
            <w:pPr>
              <w:rPr>
                <w:b/>
                <w:bCs/>
              </w:rPr>
            </w:pPr>
          </w:p>
          <w:p w14:paraId="73BBDD58" w14:textId="5F4A759C" w:rsidR="00A115B7" w:rsidRDefault="00A115B7" w:rsidP="008918DC">
            <w:pPr>
              <w:rPr>
                <w:b/>
                <w:bCs/>
              </w:rPr>
            </w:pPr>
            <w:r>
              <w:rPr>
                <w:b/>
                <w:bCs/>
              </w:rPr>
              <w:t xml:space="preserve">Pharmacotherapy products (NRT) will be reimbursed at the current NHS prices plus 5% </w:t>
            </w:r>
            <w:proofErr w:type="gramStart"/>
            <w:r>
              <w:rPr>
                <w:b/>
                <w:bCs/>
              </w:rPr>
              <w:t>VAT</w:t>
            </w:r>
            <w:proofErr w:type="gramEnd"/>
          </w:p>
          <w:p w14:paraId="401B6399" w14:textId="25EC4F33" w:rsidR="004E2C39" w:rsidRPr="00BD2ABE" w:rsidRDefault="004E2C39" w:rsidP="008D4D5C"/>
        </w:tc>
      </w:tr>
      <w:tr w:rsidR="0081303B" w14:paraId="2BE50782" w14:textId="77777777" w:rsidTr="007B4DE6">
        <w:tc>
          <w:tcPr>
            <w:tcW w:w="10141" w:type="dxa"/>
            <w:shd w:val="clear" w:color="auto" w:fill="4472C4" w:themeFill="accent1"/>
          </w:tcPr>
          <w:p w14:paraId="4BA59F81" w14:textId="0B6A9309" w:rsidR="0081303B" w:rsidRPr="00816627" w:rsidRDefault="00816627" w:rsidP="0081303B">
            <w:r w:rsidRPr="00756EC5">
              <w:rPr>
                <w:color w:val="FFFFFF" w:themeColor="background1"/>
              </w:rPr>
              <w:lastRenderedPageBreak/>
              <w:t>1</w:t>
            </w:r>
            <w:r w:rsidR="00467BA9" w:rsidRPr="00756EC5">
              <w:rPr>
                <w:color w:val="FFFFFF" w:themeColor="background1"/>
              </w:rPr>
              <w:t>4</w:t>
            </w:r>
            <w:r w:rsidRPr="00756EC5">
              <w:rPr>
                <w:color w:val="FFFFFF" w:themeColor="background1"/>
              </w:rPr>
              <w:t>.</w:t>
            </w:r>
            <w:r w:rsidR="00F71485" w:rsidRPr="00756EC5">
              <w:rPr>
                <w:color w:val="FFFFFF" w:themeColor="background1"/>
              </w:rPr>
              <w:t>Interlectual property</w:t>
            </w:r>
          </w:p>
        </w:tc>
      </w:tr>
      <w:tr w:rsidR="0081303B" w14:paraId="065E9564" w14:textId="77777777" w:rsidTr="007B4DE6">
        <w:tc>
          <w:tcPr>
            <w:tcW w:w="10141" w:type="dxa"/>
            <w:shd w:val="clear" w:color="auto" w:fill="FFFFFF" w:themeFill="background1"/>
          </w:tcPr>
          <w:p w14:paraId="4031DFDF" w14:textId="77777777" w:rsidR="008918DC" w:rsidRDefault="008918DC" w:rsidP="008918DC">
            <w:pPr>
              <w:rPr>
                <w:b/>
                <w:bCs/>
              </w:rPr>
            </w:pPr>
          </w:p>
          <w:p w14:paraId="68FFDFDC" w14:textId="40DD51FB" w:rsidR="008918DC" w:rsidRDefault="008918DC" w:rsidP="0081303B">
            <w:r>
              <w:t xml:space="preserve">Assets and all resources provided by ABL Health Ltd remain the intellectual property of the company. Any changes must not be made without obtaining written </w:t>
            </w:r>
            <w:r w:rsidR="008D4D5C">
              <w:t>permission.</w:t>
            </w:r>
          </w:p>
          <w:p w14:paraId="0C5DD26F" w14:textId="15228974" w:rsidR="00535E6E" w:rsidRPr="00BD2ABE" w:rsidRDefault="00535E6E" w:rsidP="0081303B"/>
        </w:tc>
      </w:tr>
      <w:tr w:rsidR="0081303B" w14:paraId="6A65F691" w14:textId="77777777" w:rsidTr="007B4DE6">
        <w:tc>
          <w:tcPr>
            <w:tcW w:w="10141" w:type="dxa"/>
            <w:shd w:val="clear" w:color="auto" w:fill="4472C4" w:themeFill="accent1"/>
          </w:tcPr>
          <w:p w14:paraId="0CD1DF08" w14:textId="2FB01C46" w:rsidR="0081303B" w:rsidRPr="00816627" w:rsidRDefault="00816627" w:rsidP="0081303B">
            <w:r w:rsidRPr="00756EC5">
              <w:rPr>
                <w:color w:val="FFFFFF" w:themeColor="background1"/>
              </w:rPr>
              <w:t>1</w:t>
            </w:r>
            <w:r w:rsidR="007A78F7" w:rsidRPr="00756EC5">
              <w:rPr>
                <w:color w:val="FFFFFF" w:themeColor="background1"/>
              </w:rPr>
              <w:t>5</w:t>
            </w:r>
            <w:r w:rsidRPr="00756EC5">
              <w:rPr>
                <w:color w:val="FFFFFF" w:themeColor="background1"/>
              </w:rPr>
              <w:t>.</w:t>
            </w:r>
            <w:r w:rsidR="00A84743" w:rsidRPr="00756EC5">
              <w:rPr>
                <w:color w:val="FFFFFF" w:themeColor="background1"/>
              </w:rPr>
              <w:t>Termination and notice period</w:t>
            </w:r>
          </w:p>
        </w:tc>
      </w:tr>
      <w:tr w:rsidR="0081303B" w14:paraId="77ACF193" w14:textId="77777777" w:rsidTr="007B4DE6">
        <w:tc>
          <w:tcPr>
            <w:tcW w:w="10141" w:type="dxa"/>
          </w:tcPr>
          <w:p w14:paraId="693C9429" w14:textId="77777777" w:rsidR="00A84743" w:rsidRDefault="00A84743" w:rsidP="00A84743">
            <w:pPr>
              <w:rPr>
                <w:b/>
                <w:bCs/>
              </w:rPr>
            </w:pPr>
          </w:p>
          <w:p w14:paraId="64B10F83" w14:textId="1D577D52" w:rsidR="00750080" w:rsidRPr="00BD2ABE" w:rsidRDefault="00A84743" w:rsidP="00A84743">
            <w:r w:rsidRPr="00B55DB0">
              <w:t>If a contractor does not mee</w:t>
            </w:r>
            <w:r>
              <w:t>t</w:t>
            </w:r>
            <w:r w:rsidRPr="00B55DB0">
              <w:t xml:space="preserve"> the quality standard or volume to maintain their competencies, it is a requirement that ABL Health Ltd will serve 1 months` notice. To terminate their agreement, pharmacists must give 1 months` notice to ABL Health Ltd. In these circumstances all smoking cessation equipment and resources must be returned to Smokefree </w:t>
            </w:r>
            <w:r w:rsidR="002730AE">
              <w:t>Sefton</w:t>
            </w:r>
            <w:r w:rsidRPr="00B55DB0">
              <w:t xml:space="preserve"> specialist service.</w:t>
            </w:r>
            <w:r w:rsidR="00750080">
              <w:t xml:space="preserve"> </w:t>
            </w:r>
          </w:p>
        </w:tc>
      </w:tr>
      <w:tr w:rsidR="00A84743" w14:paraId="76460144" w14:textId="77777777" w:rsidTr="007B4DE6">
        <w:tc>
          <w:tcPr>
            <w:tcW w:w="10141" w:type="dxa"/>
            <w:shd w:val="clear" w:color="auto" w:fill="4472C4" w:themeFill="accent1"/>
          </w:tcPr>
          <w:p w14:paraId="521477D5" w14:textId="3F68AE0A" w:rsidR="00A84743" w:rsidRPr="00816627" w:rsidRDefault="00631265" w:rsidP="0081303B">
            <w:r w:rsidRPr="00756EC5">
              <w:rPr>
                <w:color w:val="FFFFFF" w:themeColor="background1"/>
              </w:rPr>
              <w:t>1</w:t>
            </w:r>
            <w:r w:rsidR="007A78F7" w:rsidRPr="00756EC5">
              <w:rPr>
                <w:color w:val="FFFFFF" w:themeColor="background1"/>
              </w:rPr>
              <w:t>6</w:t>
            </w:r>
            <w:r w:rsidRPr="00756EC5">
              <w:rPr>
                <w:color w:val="FFFFFF" w:themeColor="background1"/>
              </w:rPr>
              <w:t>.</w:t>
            </w:r>
            <w:r w:rsidR="00A84743" w:rsidRPr="00756EC5">
              <w:rPr>
                <w:color w:val="FFFFFF" w:themeColor="background1"/>
              </w:rPr>
              <w:t>Liability</w:t>
            </w:r>
          </w:p>
        </w:tc>
      </w:tr>
      <w:tr w:rsidR="00A84743" w14:paraId="2A95DB50" w14:textId="77777777" w:rsidTr="007B4DE6">
        <w:tc>
          <w:tcPr>
            <w:tcW w:w="10141" w:type="dxa"/>
          </w:tcPr>
          <w:p w14:paraId="78123AF3" w14:textId="77777777" w:rsidR="00A84743" w:rsidRDefault="00A84743" w:rsidP="00A84743">
            <w:pPr>
              <w:rPr>
                <w:b/>
                <w:bCs/>
              </w:rPr>
            </w:pPr>
          </w:p>
          <w:p w14:paraId="0E76BA48" w14:textId="03295B6E" w:rsidR="00A84743" w:rsidRPr="00A84743" w:rsidRDefault="00A84743" w:rsidP="00A84743">
            <w:r>
              <w:t>Community pharmacists must have their own public liability insurance to cover any smoking cessation delivery in their premises. ABL Health Ltd will not have liability insurance to cover community pharmacists.</w:t>
            </w:r>
          </w:p>
          <w:p w14:paraId="76AB7434" w14:textId="4585C48C" w:rsidR="00A84743" w:rsidRPr="00BD2ABE" w:rsidRDefault="00A84743" w:rsidP="00A84743"/>
        </w:tc>
      </w:tr>
      <w:tr w:rsidR="00A84743" w14:paraId="78B8B3CF" w14:textId="77777777" w:rsidTr="007B4DE6">
        <w:tc>
          <w:tcPr>
            <w:tcW w:w="10141" w:type="dxa"/>
            <w:shd w:val="clear" w:color="auto" w:fill="4472C4" w:themeFill="accent1"/>
          </w:tcPr>
          <w:p w14:paraId="499BCA9D" w14:textId="71018B5B" w:rsidR="00A84743" w:rsidRPr="00631265" w:rsidRDefault="00631265" w:rsidP="0081303B">
            <w:r w:rsidRPr="00756EC5">
              <w:rPr>
                <w:color w:val="FFFFFF" w:themeColor="background1"/>
              </w:rPr>
              <w:t>1</w:t>
            </w:r>
            <w:r w:rsidR="007A78F7" w:rsidRPr="00756EC5">
              <w:rPr>
                <w:color w:val="FFFFFF" w:themeColor="background1"/>
              </w:rPr>
              <w:t>7</w:t>
            </w:r>
            <w:r w:rsidRPr="00756EC5">
              <w:rPr>
                <w:color w:val="FFFFFF" w:themeColor="background1"/>
              </w:rPr>
              <w:t>.</w:t>
            </w:r>
            <w:r w:rsidR="00A84743" w:rsidRPr="00756EC5">
              <w:rPr>
                <w:color w:val="FFFFFF" w:themeColor="background1"/>
              </w:rPr>
              <w:t>Commerciality</w:t>
            </w:r>
          </w:p>
        </w:tc>
      </w:tr>
      <w:tr w:rsidR="00A84743" w14:paraId="369BCACD" w14:textId="77777777" w:rsidTr="007B4DE6">
        <w:tc>
          <w:tcPr>
            <w:tcW w:w="10141" w:type="dxa"/>
          </w:tcPr>
          <w:p w14:paraId="674DAAF5" w14:textId="77777777" w:rsidR="00A84743" w:rsidRDefault="00A84743" w:rsidP="00A84743"/>
          <w:p w14:paraId="60D7170A" w14:textId="29A4540B" w:rsidR="00A84743" w:rsidRPr="00BD2ABE" w:rsidRDefault="00A84743" w:rsidP="00A84743">
            <w:r>
              <w:t>Both parties must ensure the contents of this agreement are treated as ` Commercial in Confidence`</w:t>
            </w:r>
          </w:p>
        </w:tc>
      </w:tr>
    </w:tbl>
    <w:p w14:paraId="3EC35838" w14:textId="496EE71B" w:rsidR="0031613A" w:rsidRDefault="0031613A"/>
    <w:p w14:paraId="3C4397F9" w14:textId="77777777" w:rsidR="00135177" w:rsidRDefault="00135177" w:rsidP="00135177">
      <w:pPr>
        <w:pStyle w:val="NoSpacing"/>
      </w:pPr>
    </w:p>
    <w:p w14:paraId="55D3287B" w14:textId="77777777" w:rsidR="00467BA9" w:rsidRDefault="00467BA9" w:rsidP="00135177">
      <w:pPr>
        <w:pStyle w:val="NoSpacing"/>
      </w:pPr>
    </w:p>
    <w:p w14:paraId="3D20EC94" w14:textId="77777777" w:rsidR="00467BA9" w:rsidRDefault="00467BA9" w:rsidP="00135177">
      <w:pPr>
        <w:pStyle w:val="NoSpacing"/>
      </w:pPr>
    </w:p>
    <w:p w14:paraId="0CA92FB7" w14:textId="77777777" w:rsidR="00467BA9" w:rsidRDefault="00467BA9" w:rsidP="00135177">
      <w:pPr>
        <w:pStyle w:val="NoSpacing"/>
      </w:pPr>
    </w:p>
    <w:p w14:paraId="56CDD3D7" w14:textId="77777777" w:rsidR="00467BA9" w:rsidRDefault="00467BA9" w:rsidP="00135177">
      <w:pPr>
        <w:pStyle w:val="NoSpacing"/>
      </w:pPr>
    </w:p>
    <w:p w14:paraId="3435D090" w14:textId="77777777" w:rsidR="00467BA9" w:rsidRDefault="00467BA9" w:rsidP="00135177">
      <w:pPr>
        <w:pStyle w:val="NoSpacing"/>
      </w:pPr>
    </w:p>
    <w:p w14:paraId="7B10D889" w14:textId="77777777" w:rsidR="00477754" w:rsidRDefault="00477754" w:rsidP="00135177">
      <w:pPr>
        <w:pStyle w:val="NoSpacing"/>
        <w:rPr>
          <w:b/>
          <w:bCs/>
          <w:sz w:val="24"/>
          <w:szCs w:val="24"/>
        </w:rPr>
      </w:pPr>
    </w:p>
    <w:p w14:paraId="74D62640" w14:textId="77777777" w:rsidR="005D46CD" w:rsidRDefault="005D46CD" w:rsidP="00135177">
      <w:pPr>
        <w:pStyle w:val="NoSpacing"/>
        <w:rPr>
          <w:b/>
          <w:bCs/>
          <w:sz w:val="24"/>
          <w:szCs w:val="24"/>
        </w:rPr>
      </w:pPr>
    </w:p>
    <w:p w14:paraId="5B6D0529" w14:textId="77777777" w:rsidR="006944E4" w:rsidRDefault="006944E4" w:rsidP="00135177">
      <w:pPr>
        <w:pStyle w:val="NoSpacing"/>
        <w:rPr>
          <w:b/>
          <w:bCs/>
          <w:sz w:val="24"/>
          <w:szCs w:val="24"/>
        </w:rPr>
      </w:pPr>
    </w:p>
    <w:p w14:paraId="47180269" w14:textId="77777777" w:rsidR="006944E4" w:rsidRDefault="006944E4" w:rsidP="00135177">
      <w:pPr>
        <w:pStyle w:val="NoSpacing"/>
        <w:rPr>
          <w:b/>
          <w:bCs/>
          <w:sz w:val="24"/>
          <w:szCs w:val="24"/>
        </w:rPr>
      </w:pPr>
    </w:p>
    <w:p w14:paraId="3DD7FEBB" w14:textId="77777777" w:rsidR="006944E4" w:rsidRDefault="006944E4" w:rsidP="00135177">
      <w:pPr>
        <w:pStyle w:val="NoSpacing"/>
        <w:rPr>
          <w:b/>
          <w:bCs/>
          <w:sz w:val="24"/>
          <w:szCs w:val="24"/>
        </w:rPr>
      </w:pPr>
    </w:p>
    <w:p w14:paraId="13679584" w14:textId="77777777" w:rsidR="006944E4" w:rsidRDefault="006944E4" w:rsidP="00135177">
      <w:pPr>
        <w:pStyle w:val="NoSpacing"/>
        <w:rPr>
          <w:b/>
          <w:bCs/>
          <w:sz w:val="24"/>
          <w:szCs w:val="24"/>
        </w:rPr>
      </w:pPr>
    </w:p>
    <w:p w14:paraId="295B6FCE" w14:textId="77777777" w:rsidR="006944E4" w:rsidRDefault="006944E4" w:rsidP="00135177">
      <w:pPr>
        <w:pStyle w:val="NoSpacing"/>
        <w:rPr>
          <w:b/>
          <w:bCs/>
          <w:sz w:val="24"/>
          <w:szCs w:val="24"/>
        </w:rPr>
      </w:pPr>
    </w:p>
    <w:p w14:paraId="41130929" w14:textId="77777777" w:rsidR="006944E4" w:rsidRDefault="006944E4" w:rsidP="00135177">
      <w:pPr>
        <w:pStyle w:val="NoSpacing"/>
        <w:rPr>
          <w:b/>
          <w:bCs/>
          <w:sz w:val="24"/>
          <w:szCs w:val="24"/>
        </w:rPr>
      </w:pPr>
    </w:p>
    <w:p w14:paraId="1D606BBC" w14:textId="77777777" w:rsidR="006944E4" w:rsidRDefault="006944E4" w:rsidP="00135177">
      <w:pPr>
        <w:pStyle w:val="NoSpacing"/>
        <w:rPr>
          <w:b/>
          <w:bCs/>
          <w:sz w:val="24"/>
          <w:szCs w:val="24"/>
        </w:rPr>
      </w:pPr>
    </w:p>
    <w:p w14:paraId="1E354A96" w14:textId="77777777" w:rsidR="006944E4" w:rsidRDefault="006944E4" w:rsidP="00135177">
      <w:pPr>
        <w:pStyle w:val="NoSpacing"/>
        <w:rPr>
          <w:b/>
          <w:bCs/>
          <w:sz w:val="24"/>
          <w:szCs w:val="24"/>
        </w:rPr>
      </w:pPr>
    </w:p>
    <w:p w14:paraId="79A9BA84" w14:textId="77777777" w:rsidR="006944E4" w:rsidRDefault="006944E4" w:rsidP="00135177">
      <w:pPr>
        <w:pStyle w:val="NoSpacing"/>
        <w:rPr>
          <w:b/>
          <w:bCs/>
          <w:sz w:val="24"/>
          <w:szCs w:val="24"/>
        </w:rPr>
      </w:pPr>
    </w:p>
    <w:p w14:paraId="6BEA9D2D" w14:textId="77777777" w:rsidR="006944E4" w:rsidRDefault="006944E4" w:rsidP="00135177">
      <w:pPr>
        <w:pStyle w:val="NoSpacing"/>
        <w:rPr>
          <w:b/>
          <w:bCs/>
          <w:sz w:val="24"/>
          <w:szCs w:val="24"/>
        </w:rPr>
      </w:pPr>
    </w:p>
    <w:p w14:paraId="70D75E0A" w14:textId="77777777" w:rsidR="006944E4" w:rsidRDefault="006944E4" w:rsidP="00135177">
      <w:pPr>
        <w:pStyle w:val="NoSpacing"/>
        <w:rPr>
          <w:b/>
          <w:bCs/>
          <w:sz w:val="24"/>
          <w:szCs w:val="24"/>
        </w:rPr>
      </w:pPr>
    </w:p>
    <w:p w14:paraId="50B3011C" w14:textId="77777777" w:rsidR="006944E4" w:rsidRDefault="006944E4" w:rsidP="00135177">
      <w:pPr>
        <w:pStyle w:val="NoSpacing"/>
        <w:rPr>
          <w:b/>
          <w:bCs/>
          <w:sz w:val="24"/>
          <w:szCs w:val="24"/>
        </w:rPr>
      </w:pPr>
    </w:p>
    <w:p w14:paraId="39FF18E5" w14:textId="77777777" w:rsidR="006944E4" w:rsidRDefault="006944E4" w:rsidP="00135177">
      <w:pPr>
        <w:pStyle w:val="NoSpacing"/>
        <w:rPr>
          <w:b/>
          <w:bCs/>
          <w:sz w:val="24"/>
          <w:szCs w:val="24"/>
        </w:rPr>
      </w:pPr>
    </w:p>
    <w:p w14:paraId="3F0AD8CE" w14:textId="77777777" w:rsidR="006944E4" w:rsidRDefault="006944E4" w:rsidP="00135177">
      <w:pPr>
        <w:pStyle w:val="NoSpacing"/>
        <w:rPr>
          <w:b/>
          <w:bCs/>
          <w:sz w:val="24"/>
          <w:szCs w:val="24"/>
        </w:rPr>
      </w:pPr>
    </w:p>
    <w:p w14:paraId="67AE0731" w14:textId="11D6B478" w:rsidR="005D46CD" w:rsidRPr="001F390D" w:rsidRDefault="008752F7" w:rsidP="00135177">
      <w:pPr>
        <w:pStyle w:val="NoSpacing"/>
        <w:rPr>
          <w:b/>
          <w:bCs/>
          <w:sz w:val="24"/>
          <w:szCs w:val="24"/>
        </w:rPr>
      </w:pPr>
      <w:r>
        <w:rPr>
          <w:b/>
          <w:bCs/>
          <w:sz w:val="24"/>
          <w:szCs w:val="24"/>
        </w:rPr>
        <w:t>Appe</w:t>
      </w:r>
      <w:r w:rsidR="00135177" w:rsidRPr="001F390D">
        <w:rPr>
          <w:b/>
          <w:bCs/>
          <w:sz w:val="24"/>
          <w:szCs w:val="24"/>
        </w:rPr>
        <w:t>ndix: 1</w:t>
      </w:r>
    </w:p>
    <w:p w14:paraId="0759D325" w14:textId="1C05EE16" w:rsidR="005932F4" w:rsidRDefault="005932F4" w:rsidP="00135177">
      <w:pPr>
        <w:pStyle w:val="NoSpacing"/>
        <w:rPr>
          <w:b/>
          <w:bCs/>
        </w:rPr>
      </w:pPr>
    </w:p>
    <w:p w14:paraId="5036997A" w14:textId="77777777" w:rsidR="00135177" w:rsidRDefault="00135177" w:rsidP="00135177">
      <w:pPr>
        <w:pStyle w:val="NoSpacing"/>
      </w:pPr>
    </w:p>
    <w:p w14:paraId="59AAC4B8" w14:textId="77777777" w:rsidR="00135177" w:rsidRPr="005F1704" w:rsidRDefault="00135177" w:rsidP="00135177">
      <w:pPr>
        <w:pStyle w:val="NoSpacing"/>
        <w:rPr>
          <w:b/>
          <w:bCs/>
        </w:rPr>
      </w:pPr>
      <w:r w:rsidRPr="00EF0E50">
        <w:rPr>
          <w:b/>
          <w:bCs/>
        </w:rPr>
        <w:t>Agreement for undertaking the delivery of Smoking Cessation Interventions in Pharmacies</w:t>
      </w:r>
    </w:p>
    <w:p w14:paraId="0749BA2A" w14:textId="77777777" w:rsidR="00135177" w:rsidRDefault="00135177" w:rsidP="00135177">
      <w:pPr>
        <w:pStyle w:val="NoSpacing"/>
      </w:pPr>
    </w:p>
    <w:p w14:paraId="32777F47" w14:textId="77777777" w:rsidR="00135177" w:rsidRDefault="00135177" w:rsidP="00135177">
      <w:pPr>
        <w:pStyle w:val="NoSpacing"/>
      </w:pPr>
      <w:r>
        <w:t>I certify that:</w:t>
      </w:r>
    </w:p>
    <w:p w14:paraId="2D5A8C1A" w14:textId="77777777" w:rsidR="00135177" w:rsidRDefault="00135177" w:rsidP="00135177">
      <w:pPr>
        <w:pStyle w:val="NoSpacing"/>
      </w:pPr>
    </w:p>
    <w:p w14:paraId="05BD9BF6" w14:textId="5A32D827" w:rsidR="00135177" w:rsidRDefault="00135177" w:rsidP="00135177">
      <w:pPr>
        <w:pStyle w:val="NoSpacing"/>
        <w:numPr>
          <w:ilvl w:val="0"/>
          <w:numId w:val="25"/>
        </w:numPr>
      </w:pPr>
      <w:r>
        <w:t xml:space="preserve">…………………………………………. has considered and accepts the detail in this agreement and would like to </w:t>
      </w:r>
      <w:proofErr w:type="gramStart"/>
      <w:r w:rsidR="005D46CD">
        <w:t xml:space="preserve">deliver, </w:t>
      </w:r>
      <w:r>
        <w:t xml:space="preserve"> </w:t>
      </w:r>
      <w:r w:rsidRPr="005E7790">
        <w:rPr>
          <w:b/>
          <w:bCs/>
          <w:i/>
          <w:iCs/>
        </w:rPr>
        <w:t>please</w:t>
      </w:r>
      <w:proofErr w:type="gramEnd"/>
      <w:r w:rsidRPr="005E7790">
        <w:rPr>
          <w:b/>
          <w:bCs/>
          <w:i/>
          <w:iCs/>
        </w:rPr>
        <w:t xml:space="preserve"> tick</w:t>
      </w:r>
      <w:r w:rsidR="005D46CD">
        <w:rPr>
          <w:b/>
          <w:bCs/>
          <w:i/>
          <w:iCs/>
        </w:rPr>
        <w:t xml:space="preserve"> as appropriate:</w:t>
      </w:r>
      <w:r w:rsidR="008325B9">
        <w:rPr>
          <w:b/>
          <w:bCs/>
          <w:i/>
          <w:iCs/>
        </w:rPr>
        <w:t xml:space="preserve"> </w:t>
      </w:r>
      <w:r w:rsidR="005D46CD">
        <w:rPr>
          <w:b/>
          <w:bCs/>
          <w:i/>
          <w:iCs/>
        </w:rPr>
        <w:t>both/either option 1&amp;2</w:t>
      </w:r>
    </w:p>
    <w:p w14:paraId="5614F007" w14:textId="7FB17535" w:rsidR="00135177" w:rsidRDefault="005D46CD" w:rsidP="00135177">
      <w:pPr>
        <w:pStyle w:val="NoSpacing"/>
        <w:ind w:left="720"/>
      </w:pPr>
      <w:r>
        <w:t xml:space="preserve">, </w:t>
      </w:r>
    </w:p>
    <w:p w14:paraId="7C491734" w14:textId="14E35579" w:rsidR="00135177" w:rsidRDefault="00135177" w:rsidP="00135177">
      <w:pPr>
        <w:pStyle w:val="NoSpacing"/>
      </w:pPr>
      <w:r>
        <w:t xml:space="preserve">       Option 1                                      </w:t>
      </w:r>
      <w:r w:rsidR="00A75FB5">
        <w:t xml:space="preserve">                                     </w:t>
      </w:r>
      <w:r>
        <w:t xml:space="preserve">Option 2                                         </w:t>
      </w:r>
    </w:p>
    <w:p w14:paraId="1B0C1DDA" w14:textId="1AF90ACE" w:rsidR="00135177" w:rsidRDefault="00135177" w:rsidP="00135177">
      <w:pPr>
        <w:pStyle w:val="NoSpacing"/>
      </w:pPr>
      <w:r>
        <w:t xml:space="preserve">       Dispensing NRT voucher      </w:t>
      </w:r>
      <w:r w:rsidR="00A75FB5">
        <w:t xml:space="preserve">                                    </w:t>
      </w:r>
      <w:r>
        <w:t xml:space="preserve">     </w:t>
      </w:r>
      <w:r w:rsidR="0033365E">
        <w:t>Level 2</w:t>
      </w:r>
      <w:r>
        <w:t xml:space="preserve"> Smoking Cessation          </w:t>
      </w:r>
    </w:p>
    <w:p w14:paraId="3AE206B1" w14:textId="73DB53BF" w:rsidR="00135177" w:rsidRDefault="00A75FB5" w:rsidP="00135177">
      <w:pPr>
        <w:pStyle w:val="NoSpacing"/>
      </w:pPr>
      <w:r>
        <w:rPr>
          <w:noProof/>
        </w:rPr>
        <mc:AlternateContent>
          <mc:Choice Requires="wps">
            <w:drawing>
              <wp:anchor distT="45720" distB="45720" distL="114300" distR="114300" simplePos="0" relativeHeight="251661312" behindDoc="0" locked="0" layoutInCell="1" allowOverlap="1" wp14:anchorId="59D2280C" wp14:editId="429CF408">
                <wp:simplePos x="0" y="0"/>
                <wp:positionH relativeFrom="column">
                  <wp:posOffset>3101340</wp:posOffset>
                </wp:positionH>
                <wp:positionV relativeFrom="paragraph">
                  <wp:posOffset>97790</wp:posOffset>
                </wp:positionV>
                <wp:extent cx="274320" cy="2514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51460"/>
                        </a:xfrm>
                        <a:prstGeom prst="rect">
                          <a:avLst/>
                        </a:prstGeom>
                        <a:solidFill>
                          <a:srgbClr val="FFFFFF"/>
                        </a:solidFill>
                        <a:ln w="9525">
                          <a:solidFill>
                            <a:srgbClr val="000000"/>
                          </a:solidFill>
                          <a:miter lim="800000"/>
                          <a:headEnd/>
                          <a:tailEnd/>
                        </a:ln>
                      </wps:spPr>
                      <wps:txbx>
                        <w:txbxContent>
                          <w:p w14:paraId="708DB114" w14:textId="68122D19" w:rsidR="00A75FB5" w:rsidRDefault="00A75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2280C" id="_x0000_t202" coordsize="21600,21600" o:spt="202" path="m,l,21600r21600,l21600,xe">
                <v:stroke joinstyle="miter"/>
                <v:path gradientshapeok="t" o:connecttype="rect"/>
              </v:shapetype>
              <v:shape id="Text Box 2" o:spid="_x0000_s1026" type="#_x0000_t202" style="position:absolute;margin-left:244.2pt;margin-top:7.7pt;width:21.6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">
                <v:textbox>
                  <w:txbxContent>
                    <w:p w14:paraId="708DB114" w14:textId="68122D19" w:rsidR="00A75FB5" w:rsidRDefault="00A75FB5"/>
                  </w:txbxContent>
                </v:textbox>
                <w10:wrap type="square"/>
              </v:shape>
            </w:pict>
          </mc:Fallback>
        </mc:AlternateContent>
      </w:r>
      <w:r w:rsidR="00135177">
        <w:rPr>
          <w:noProof/>
        </w:rPr>
        <mc:AlternateContent>
          <mc:Choice Requires="wps">
            <w:drawing>
              <wp:anchor distT="0" distB="0" distL="114300" distR="114300" simplePos="0" relativeHeight="251659264" behindDoc="0" locked="0" layoutInCell="1" allowOverlap="1" wp14:anchorId="0A76B5A6" wp14:editId="2B33545A">
                <wp:simplePos x="0" y="0"/>
                <wp:positionH relativeFrom="column">
                  <wp:posOffset>295275</wp:posOffset>
                </wp:positionH>
                <wp:positionV relativeFrom="paragraph">
                  <wp:posOffset>116840</wp:posOffset>
                </wp:positionV>
                <wp:extent cx="290195" cy="257175"/>
                <wp:effectExtent l="0" t="0" r="14605" b="28575"/>
                <wp:wrapNone/>
                <wp:docPr id="1" name="Text Box 1"/>
                <wp:cNvGraphicFramePr/>
                <a:graphic xmlns:a="http://schemas.openxmlformats.org/drawingml/2006/main">
                  <a:graphicData uri="http://schemas.microsoft.com/office/word/2010/wordprocessingShape">
                    <wps:wsp>
                      <wps:cNvSpPr txBox="1"/>
                      <wps:spPr>
                        <a:xfrm>
                          <a:off x="0" y="0"/>
                          <a:ext cx="290195" cy="257175"/>
                        </a:xfrm>
                        <a:prstGeom prst="rect">
                          <a:avLst/>
                        </a:prstGeom>
                        <a:solidFill>
                          <a:schemeClr val="lt1"/>
                        </a:solidFill>
                        <a:ln w="6350">
                          <a:solidFill>
                            <a:prstClr val="black"/>
                          </a:solidFill>
                        </a:ln>
                      </wps:spPr>
                      <wps:txbx>
                        <w:txbxContent>
                          <w:p w14:paraId="4686FE71" w14:textId="77777777" w:rsidR="00135177" w:rsidRDefault="00135177" w:rsidP="001351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6B5A6" id="Text Box 1" o:spid="_x0000_s1027" type="#_x0000_t202" style="position:absolute;margin-left:23.25pt;margin-top:9.2pt;width:22.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" fillcolor="white [3201]" strokeweight=".5pt">
                <v:textbox>
                  <w:txbxContent>
                    <w:p w14:paraId="4686FE71" w14:textId="77777777" w:rsidR="00135177" w:rsidRDefault="00135177" w:rsidP="00135177"/>
                  </w:txbxContent>
                </v:textbox>
              </v:shape>
            </w:pict>
          </mc:Fallback>
        </mc:AlternateContent>
      </w:r>
    </w:p>
    <w:p w14:paraId="0C278D9E" w14:textId="136A6618" w:rsidR="00135177" w:rsidRDefault="00135177" w:rsidP="00135177">
      <w:pPr>
        <w:pStyle w:val="NoSpacing"/>
      </w:pPr>
      <w:r>
        <w:t xml:space="preserve">                                                           </w:t>
      </w:r>
      <w:r w:rsidR="00A75FB5">
        <w:t xml:space="preserve">    </w:t>
      </w:r>
      <w:r>
        <w:t xml:space="preserve">                                    </w:t>
      </w:r>
    </w:p>
    <w:p w14:paraId="6470ADA7" w14:textId="5B1F0286" w:rsidR="00135177" w:rsidRDefault="00135177" w:rsidP="00135177">
      <w:pPr>
        <w:pStyle w:val="NoSpacing"/>
      </w:pPr>
    </w:p>
    <w:p w14:paraId="51C2D5E7" w14:textId="77777777" w:rsidR="00135177" w:rsidRDefault="00135177" w:rsidP="00135177">
      <w:pPr>
        <w:pStyle w:val="NoSpacing"/>
      </w:pPr>
    </w:p>
    <w:p w14:paraId="3A94F0E2" w14:textId="4A22EA18" w:rsidR="00135177" w:rsidRPr="005E7790" w:rsidRDefault="00135177" w:rsidP="00A75FB5">
      <w:pPr>
        <w:pStyle w:val="NoSpacing"/>
        <w:numPr>
          <w:ilvl w:val="0"/>
          <w:numId w:val="25"/>
        </w:numPr>
      </w:pPr>
      <w:r>
        <w:t xml:space="preserve">I …………………………………………………… accept all the terms and conditions set out in this </w:t>
      </w:r>
      <w:r w:rsidR="005D46CD">
        <w:t>agreement.</w:t>
      </w:r>
    </w:p>
    <w:p w14:paraId="700927FC" w14:textId="795D1F4B" w:rsidR="00135177" w:rsidRDefault="00135177" w:rsidP="00A75FB5">
      <w:pPr>
        <w:pStyle w:val="NoSpacing"/>
      </w:pPr>
      <w:r>
        <w:t xml:space="preserve">              </w:t>
      </w:r>
    </w:p>
    <w:p w14:paraId="2A4FE8C2" w14:textId="77777777" w:rsidR="00135177" w:rsidRDefault="00135177" w:rsidP="00135177">
      <w:pPr>
        <w:jc w:val="center"/>
      </w:pPr>
      <w:r>
        <w:t>Between:</w:t>
      </w:r>
    </w:p>
    <w:p w14:paraId="56A117D7" w14:textId="77777777" w:rsidR="00135177" w:rsidRDefault="00135177" w:rsidP="00135177">
      <w:pPr>
        <w:pStyle w:val="NoSpacing"/>
        <w:jc w:val="center"/>
      </w:pPr>
    </w:p>
    <w:p w14:paraId="7D1C8A3D" w14:textId="77777777" w:rsidR="00135177" w:rsidRDefault="00135177" w:rsidP="00135177">
      <w:pPr>
        <w:pStyle w:val="NoSpacing"/>
        <w:jc w:val="center"/>
      </w:pPr>
      <w:r>
        <w:t>ABL Health Ltd</w:t>
      </w:r>
    </w:p>
    <w:p w14:paraId="4AF03F05" w14:textId="77777777" w:rsidR="00135177" w:rsidRDefault="00135177" w:rsidP="00135177">
      <w:pPr>
        <w:pStyle w:val="NoSpacing"/>
        <w:jc w:val="center"/>
      </w:pPr>
      <w:r>
        <w:t>71 Redgate Way</w:t>
      </w:r>
    </w:p>
    <w:p w14:paraId="7DAE7C34" w14:textId="77777777" w:rsidR="00135177" w:rsidRDefault="00135177" w:rsidP="00135177">
      <w:pPr>
        <w:pStyle w:val="NoSpacing"/>
        <w:jc w:val="center"/>
      </w:pPr>
      <w:r>
        <w:t>Farnworth</w:t>
      </w:r>
    </w:p>
    <w:p w14:paraId="29DFCB7B" w14:textId="77777777" w:rsidR="00135177" w:rsidRDefault="00135177" w:rsidP="00135177">
      <w:pPr>
        <w:pStyle w:val="NoSpacing"/>
        <w:jc w:val="center"/>
      </w:pPr>
      <w:r>
        <w:t>Bolton</w:t>
      </w:r>
    </w:p>
    <w:p w14:paraId="098DF971" w14:textId="77777777" w:rsidR="00135177" w:rsidRDefault="00135177" w:rsidP="00135177">
      <w:pPr>
        <w:pStyle w:val="NoSpacing"/>
        <w:jc w:val="center"/>
      </w:pPr>
      <w:r>
        <w:t>BL4 0JL</w:t>
      </w:r>
    </w:p>
    <w:p w14:paraId="26A709AB" w14:textId="77777777" w:rsidR="00135177" w:rsidRDefault="00135177" w:rsidP="00135177">
      <w:pPr>
        <w:pStyle w:val="NoSpacing"/>
        <w:jc w:val="center"/>
      </w:pPr>
    </w:p>
    <w:p w14:paraId="712A9FA3" w14:textId="77777777" w:rsidR="00135177" w:rsidRDefault="00135177" w:rsidP="00135177">
      <w:pPr>
        <w:pStyle w:val="NoSpacing"/>
        <w:jc w:val="center"/>
      </w:pPr>
      <w:r>
        <w:t>AND</w:t>
      </w:r>
    </w:p>
    <w:p w14:paraId="0B3B2B1A" w14:textId="77777777" w:rsidR="00135177" w:rsidRDefault="00135177" w:rsidP="00135177">
      <w:pPr>
        <w:pStyle w:val="NoSpacing"/>
        <w:jc w:val="center"/>
      </w:pPr>
    </w:p>
    <w:p w14:paraId="77F133B9" w14:textId="77777777" w:rsidR="00135177" w:rsidRDefault="00135177" w:rsidP="00135177">
      <w:pPr>
        <w:pStyle w:val="NoSpacing"/>
        <w:jc w:val="center"/>
      </w:pPr>
    </w:p>
    <w:p w14:paraId="7B5A31A5" w14:textId="77777777" w:rsidR="00135177" w:rsidRDefault="00135177" w:rsidP="00135177">
      <w:pPr>
        <w:pStyle w:val="NoSpacing"/>
      </w:pPr>
      <w:r>
        <w:t>Pharmacy name: ……………………………………………………………………………………………</w:t>
      </w:r>
    </w:p>
    <w:p w14:paraId="4E2F8771" w14:textId="77777777" w:rsidR="00135177" w:rsidRDefault="00135177" w:rsidP="00135177">
      <w:pPr>
        <w:pStyle w:val="NoSpacing"/>
      </w:pPr>
    </w:p>
    <w:p w14:paraId="106BE7AD" w14:textId="77777777" w:rsidR="00135177" w:rsidRDefault="00135177" w:rsidP="00135177">
      <w:pPr>
        <w:pStyle w:val="NoSpacing"/>
      </w:pPr>
      <w:r>
        <w:t>Pharmacy address: ……………………………………………………………………………………….</w:t>
      </w:r>
    </w:p>
    <w:p w14:paraId="16A3815C" w14:textId="77777777" w:rsidR="00135177" w:rsidRDefault="00135177" w:rsidP="00135177">
      <w:pPr>
        <w:pStyle w:val="NoSpacing"/>
      </w:pPr>
    </w:p>
    <w:p w14:paraId="19A67207" w14:textId="77777777" w:rsidR="00135177" w:rsidRDefault="00135177" w:rsidP="00135177">
      <w:pPr>
        <w:pStyle w:val="NoSpacing"/>
      </w:pPr>
      <w:r>
        <w:t>Print name: …………………………………………………………………………………………………….</w:t>
      </w:r>
    </w:p>
    <w:p w14:paraId="21713496" w14:textId="77777777" w:rsidR="00135177" w:rsidRDefault="00135177" w:rsidP="00135177">
      <w:pPr>
        <w:pStyle w:val="NoSpacing"/>
      </w:pPr>
    </w:p>
    <w:p w14:paraId="0EFB2142" w14:textId="77777777" w:rsidR="00135177" w:rsidRDefault="00135177" w:rsidP="00135177">
      <w:pPr>
        <w:pStyle w:val="NoSpacing"/>
      </w:pPr>
      <w:r>
        <w:t>Signature: ………………………………………………………… Date: ………………………………...</w:t>
      </w:r>
    </w:p>
    <w:p w14:paraId="53378E62" w14:textId="77777777" w:rsidR="00135177" w:rsidRDefault="00135177" w:rsidP="00135177">
      <w:pPr>
        <w:pStyle w:val="NoSpacing"/>
      </w:pPr>
    </w:p>
    <w:p w14:paraId="155E224A" w14:textId="77777777" w:rsidR="00135177" w:rsidRDefault="00135177" w:rsidP="00135177">
      <w:pPr>
        <w:pStyle w:val="NoSpacing"/>
      </w:pPr>
      <w:r>
        <w:t>Contact tel. number: …………………………………………………………………………………</w:t>
      </w:r>
      <w:proofErr w:type="gramStart"/>
      <w:r>
        <w:t>…..</w:t>
      </w:r>
      <w:proofErr w:type="gramEnd"/>
    </w:p>
    <w:p w14:paraId="57563ECF" w14:textId="77777777" w:rsidR="00135177" w:rsidRDefault="00135177" w:rsidP="00135177">
      <w:pPr>
        <w:pStyle w:val="NoSpacing"/>
      </w:pPr>
    </w:p>
    <w:p w14:paraId="4CAEFEB0" w14:textId="6DB41150" w:rsidR="005932F4" w:rsidRDefault="00135177" w:rsidP="005932F4">
      <w:pPr>
        <w:pStyle w:val="NoSpacing"/>
      </w:pPr>
      <w:r>
        <w:t>Email address: ………………………………………………………………………………………………</w:t>
      </w:r>
    </w:p>
    <w:p w14:paraId="706D8997" w14:textId="77777777" w:rsidR="005932F4" w:rsidRDefault="005932F4" w:rsidP="005932F4">
      <w:pPr>
        <w:pStyle w:val="NoSpacing"/>
      </w:pPr>
    </w:p>
    <w:p w14:paraId="35445606" w14:textId="77777777" w:rsidR="005932F4" w:rsidRDefault="005932F4" w:rsidP="005932F4">
      <w:pPr>
        <w:pStyle w:val="NoSpacing"/>
        <w:rPr>
          <w:b/>
          <w:bCs/>
        </w:rPr>
      </w:pPr>
    </w:p>
    <w:p w14:paraId="21DB1CEF" w14:textId="77777777" w:rsidR="006944E4" w:rsidRDefault="006944E4" w:rsidP="005932F4">
      <w:pPr>
        <w:pStyle w:val="NoSpacing"/>
        <w:rPr>
          <w:b/>
          <w:bCs/>
        </w:rPr>
      </w:pPr>
    </w:p>
    <w:p w14:paraId="6E32F28E" w14:textId="77777777" w:rsidR="006944E4" w:rsidRPr="009B4D94" w:rsidRDefault="006944E4" w:rsidP="005932F4">
      <w:pPr>
        <w:pStyle w:val="NoSpacing"/>
        <w:rPr>
          <w:b/>
          <w:bCs/>
        </w:rPr>
      </w:pPr>
    </w:p>
    <w:p w14:paraId="19A4FAE0" w14:textId="52223D1B" w:rsidR="005932F4" w:rsidRPr="001F390D" w:rsidRDefault="005932F4" w:rsidP="005932F4">
      <w:pPr>
        <w:pStyle w:val="NoSpacing"/>
        <w:rPr>
          <w:b/>
          <w:bCs/>
          <w:sz w:val="24"/>
          <w:szCs w:val="24"/>
        </w:rPr>
      </w:pPr>
      <w:r w:rsidRPr="001F390D">
        <w:rPr>
          <w:b/>
          <w:bCs/>
          <w:sz w:val="24"/>
          <w:szCs w:val="24"/>
        </w:rPr>
        <w:t>Appendix: 2</w:t>
      </w:r>
    </w:p>
    <w:p w14:paraId="068F0F2D" w14:textId="3945E712" w:rsidR="005932F4" w:rsidRDefault="005932F4" w:rsidP="005932F4">
      <w:pPr>
        <w:pStyle w:val="NoSpacing"/>
        <w:rPr>
          <w:b/>
          <w:bCs/>
        </w:rPr>
      </w:pPr>
    </w:p>
    <w:p w14:paraId="69391CEB" w14:textId="77777777" w:rsidR="005932F4" w:rsidRDefault="005932F4" w:rsidP="005932F4">
      <w:pPr>
        <w:pStyle w:val="NoSpacing"/>
      </w:pPr>
    </w:p>
    <w:p w14:paraId="4F175064" w14:textId="77777777" w:rsidR="005932F4" w:rsidRDefault="005932F4" w:rsidP="005932F4">
      <w:pPr>
        <w:pStyle w:val="NoSpacing"/>
      </w:pPr>
      <w:bookmarkStart w:id="1" w:name="_Hlk132131525"/>
      <w:r>
        <w:t>Form for completion for pharmacies to provide bank details to receive payment by BACS transfer for their related subcontracted services.</w:t>
      </w:r>
    </w:p>
    <w:p w14:paraId="4C73F12E" w14:textId="77777777" w:rsidR="005932F4" w:rsidRDefault="005932F4" w:rsidP="005932F4">
      <w:pPr>
        <w:pStyle w:val="NoSpacing"/>
      </w:pPr>
    </w:p>
    <w:p w14:paraId="16F85E49" w14:textId="582D492C" w:rsidR="005932F4" w:rsidRDefault="005932F4" w:rsidP="005932F4">
      <w:pPr>
        <w:pStyle w:val="NoSpacing"/>
      </w:pPr>
      <w:r>
        <w:t>Please email the completed form</w:t>
      </w:r>
      <w:r w:rsidR="001F390D">
        <w:t>s (Appendices 1 and 2)</w:t>
      </w:r>
      <w:r>
        <w:t xml:space="preserve"> securely to </w:t>
      </w:r>
      <w:hyperlink r:id="rId15" w:history="1">
        <w:r w:rsidRPr="00892FAA">
          <w:rPr>
            <w:rStyle w:val="Hyperlink"/>
          </w:rPr>
          <w:t>ewoodworth@nhs.net</w:t>
        </w:r>
      </w:hyperlink>
      <w:r w:rsidR="005D46CD">
        <w:rPr>
          <w:rStyle w:val="Hyperlink"/>
        </w:rPr>
        <w:t xml:space="preserve"> </w:t>
      </w:r>
      <w:r w:rsidR="006944E4">
        <w:rPr>
          <w:rStyle w:val="Hyperlink"/>
        </w:rPr>
        <w:t xml:space="preserve">  </w:t>
      </w:r>
      <w:r w:rsidR="006944E4" w:rsidRPr="006944E4">
        <w:rPr>
          <w:rStyle w:val="Hyperlink"/>
          <w:color w:val="auto"/>
          <w:u w:val="none"/>
        </w:rPr>
        <w:t>or</w:t>
      </w:r>
      <w:r w:rsidR="005D46CD" w:rsidRPr="006944E4">
        <w:rPr>
          <w:rStyle w:val="Hyperlink"/>
          <w:color w:val="auto"/>
          <w:u w:val="none"/>
        </w:rPr>
        <w:t xml:space="preserve"> </w:t>
      </w:r>
      <w:r w:rsidR="005D46CD" w:rsidRPr="001F4894">
        <w:rPr>
          <w:bCs/>
          <w:color w:val="0070C0"/>
        </w:rPr>
        <w:t>m</w:t>
      </w:r>
      <w:r w:rsidR="005D46CD" w:rsidRPr="001F4894">
        <w:rPr>
          <w:rFonts w:ascii="Calibri" w:hAnsi="Calibri" w:cs="Calibri"/>
          <w:color w:val="0070C0"/>
          <w:shd w:val="clear" w:color="auto" w:fill="FFFFFF"/>
        </w:rPr>
        <w:t>mierzwa@ablhealth.co.uk</w:t>
      </w:r>
    </w:p>
    <w:p w14:paraId="5145D190" w14:textId="77777777" w:rsidR="005932F4" w:rsidRDefault="005932F4" w:rsidP="005932F4">
      <w:pPr>
        <w:pStyle w:val="NoSpacing"/>
      </w:pPr>
    </w:p>
    <w:p w14:paraId="7E85603E" w14:textId="77777777" w:rsidR="005932F4" w:rsidRDefault="005932F4" w:rsidP="005932F4">
      <w:pPr>
        <w:pStyle w:val="NoSpacing"/>
      </w:pPr>
    </w:p>
    <w:tbl>
      <w:tblPr>
        <w:tblStyle w:val="TableGrid"/>
        <w:tblW w:w="0" w:type="auto"/>
        <w:tblLook w:val="04A0" w:firstRow="1" w:lastRow="0" w:firstColumn="1" w:lastColumn="0" w:noHBand="0" w:noVBand="1"/>
      </w:tblPr>
      <w:tblGrid>
        <w:gridCol w:w="2605"/>
        <w:gridCol w:w="5130"/>
      </w:tblGrid>
      <w:tr w:rsidR="005932F4" w14:paraId="52867369" w14:textId="77777777" w:rsidTr="004A2BB3">
        <w:tc>
          <w:tcPr>
            <w:tcW w:w="2605" w:type="dxa"/>
          </w:tcPr>
          <w:p w14:paraId="5DCA300B" w14:textId="77777777" w:rsidR="005932F4" w:rsidRDefault="005932F4" w:rsidP="004A2BB3">
            <w:pPr>
              <w:pStyle w:val="NoSpacing"/>
            </w:pPr>
            <w:r>
              <w:t>Name of Payee:</w:t>
            </w:r>
          </w:p>
          <w:p w14:paraId="30A20A36" w14:textId="77777777" w:rsidR="005932F4" w:rsidRDefault="005932F4" w:rsidP="004A2BB3">
            <w:pPr>
              <w:pStyle w:val="NoSpacing"/>
            </w:pPr>
          </w:p>
        </w:tc>
        <w:tc>
          <w:tcPr>
            <w:tcW w:w="5130" w:type="dxa"/>
          </w:tcPr>
          <w:p w14:paraId="536E88E4" w14:textId="77777777" w:rsidR="005932F4" w:rsidRDefault="005932F4" w:rsidP="004A2BB3">
            <w:pPr>
              <w:pStyle w:val="NoSpacing"/>
            </w:pPr>
          </w:p>
        </w:tc>
      </w:tr>
      <w:tr w:rsidR="005932F4" w14:paraId="5D378A83" w14:textId="77777777" w:rsidTr="004A2BB3">
        <w:tc>
          <w:tcPr>
            <w:tcW w:w="2605" w:type="dxa"/>
          </w:tcPr>
          <w:p w14:paraId="0B066228" w14:textId="77777777" w:rsidR="005932F4" w:rsidRDefault="005932F4" w:rsidP="004A2BB3">
            <w:pPr>
              <w:pStyle w:val="NoSpacing"/>
            </w:pPr>
            <w:r>
              <w:t>Name of Pharmacy:</w:t>
            </w:r>
          </w:p>
          <w:p w14:paraId="0EF0584C" w14:textId="77777777" w:rsidR="005932F4" w:rsidRDefault="005932F4" w:rsidP="004A2BB3">
            <w:pPr>
              <w:pStyle w:val="NoSpacing"/>
            </w:pPr>
          </w:p>
        </w:tc>
        <w:tc>
          <w:tcPr>
            <w:tcW w:w="5130" w:type="dxa"/>
          </w:tcPr>
          <w:p w14:paraId="35782531" w14:textId="77777777" w:rsidR="005932F4" w:rsidRDefault="005932F4" w:rsidP="004A2BB3">
            <w:pPr>
              <w:pStyle w:val="NoSpacing"/>
            </w:pPr>
          </w:p>
        </w:tc>
      </w:tr>
      <w:tr w:rsidR="005932F4" w14:paraId="43188363" w14:textId="77777777" w:rsidTr="004A2BB3">
        <w:tc>
          <w:tcPr>
            <w:tcW w:w="2605" w:type="dxa"/>
          </w:tcPr>
          <w:p w14:paraId="36C9A8E5" w14:textId="77777777" w:rsidR="005932F4" w:rsidRDefault="005932F4" w:rsidP="004A2BB3">
            <w:pPr>
              <w:pStyle w:val="NoSpacing"/>
            </w:pPr>
            <w:r>
              <w:t>Address of Pharmacy including post code:</w:t>
            </w:r>
          </w:p>
          <w:p w14:paraId="716122D8" w14:textId="77777777" w:rsidR="005932F4" w:rsidRDefault="005932F4" w:rsidP="004A2BB3">
            <w:pPr>
              <w:pStyle w:val="NoSpacing"/>
            </w:pPr>
          </w:p>
          <w:p w14:paraId="3682A783" w14:textId="77777777" w:rsidR="005932F4" w:rsidRDefault="005932F4" w:rsidP="004A2BB3">
            <w:pPr>
              <w:pStyle w:val="NoSpacing"/>
            </w:pPr>
          </w:p>
          <w:p w14:paraId="4D612DEC" w14:textId="77777777" w:rsidR="005932F4" w:rsidRDefault="005932F4" w:rsidP="004A2BB3">
            <w:pPr>
              <w:pStyle w:val="NoSpacing"/>
            </w:pPr>
          </w:p>
        </w:tc>
        <w:tc>
          <w:tcPr>
            <w:tcW w:w="5130" w:type="dxa"/>
          </w:tcPr>
          <w:p w14:paraId="242B8EB4" w14:textId="77777777" w:rsidR="005932F4" w:rsidRDefault="005932F4" w:rsidP="004A2BB3">
            <w:pPr>
              <w:pStyle w:val="NoSpacing"/>
            </w:pPr>
          </w:p>
          <w:p w14:paraId="360E4C4F" w14:textId="77777777" w:rsidR="005932F4" w:rsidRDefault="005932F4" w:rsidP="004A2BB3">
            <w:pPr>
              <w:pStyle w:val="NoSpacing"/>
            </w:pPr>
          </w:p>
          <w:p w14:paraId="5D924006" w14:textId="77777777" w:rsidR="005932F4" w:rsidRDefault="005932F4" w:rsidP="004A2BB3">
            <w:pPr>
              <w:pStyle w:val="NoSpacing"/>
            </w:pPr>
          </w:p>
          <w:p w14:paraId="4EAF1167" w14:textId="77777777" w:rsidR="005932F4" w:rsidRDefault="005932F4" w:rsidP="004A2BB3">
            <w:pPr>
              <w:pStyle w:val="NoSpacing"/>
            </w:pPr>
          </w:p>
          <w:p w14:paraId="2D3B737C" w14:textId="77777777" w:rsidR="005932F4" w:rsidRDefault="005932F4" w:rsidP="004A2BB3">
            <w:pPr>
              <w:pStyle w:val="NoSpacing"/>
            </w:pPr>
          </w:p>
          <w:p w14:paraId="5CCA386F" w14:textId="77777777" w:rsidR="005932F4" w:rsidRDefault="005932F4" w:rsidP="004A2BB3">
            <w:pPr>
              <w:pStyle w:val="NoSpacing"/>
            </w:pPr>
          </w:p>
          <w:p w14:paraId="54E3D2BD" w14:textId="77777777" w:rsidR="005932F4" w:rsidRDefault="005932F4" w:rsidP="004A2BB3">
            <w:pPr>
              <w:pStyle w:val="NoSpacing"/>
            </w:pPr>
          </w:p>
        </w:tc>
      </w:tr>
      <w:tr w:rsidR="005932F4" w14:paraId="240739FD" w14:textId="77777777" w:rsidTr="004A2BB3">
        <w:tc>
          <w:tcPr>
            <w:tcW w:w="2605" w:type="dxa"/>
          </w:tcPr>
          <w:p w14:paraId="1E7547EE" w14:textId="77777777" w:rsidR="005932F4" w:rsidRDefault="005932F4" w:rsidP="004A2BB3">
            <w:pPr>
              <w:pStyle w:val="NoSpacing"/>
            </w:pPr>
          </w:p>
          <w:p w14:paraId="14553C92" w14:textId="77777777" w:rsidR="005932F4" w:rsidRDefault="005932F4" w:rsidP="004A2BB3">
            <w:pPr>
              <w:pStyle w:val="NoSpacing"/>
            </w:pPr>
          </w:p>
          <w:p w14:paraId="25016EFA" w14:textId="77777777" w:rsidR="005932F4" w:rsidRDefault="005932F4" w:rsidP="004A2BB3">
            <w:pPr>
              <w:pStyle w:val="NoSpacing"/>
            </w:pPr>
          </w:p>
          <w:p w14:paraId="430B40AA" w14:textId="77777777" w:rsidR="005932F4" w:rsidRDefault="005932F4" w:rsidP="004A2BB3">
            <w:pPr>
              <w:pStyle w:val="NoSpacing"/>
            </w:pPr>
          </w:p>
          <w:p w14:paraId="21BC9D6A" w14:textId="77777777" w:rsidR="005932F4" w:rsidRDefault="005932F4" w:rsidP="004A2BB3">
            <w:pPr>
              <w:pStyle w:val="NoSpacing"/>
            </w:pPr>
          </w:p>
          <w:p w14:paraId="5BEFB550" w14:textId="77777777" w:rsidR="005932F4" w:rsidRDefault="005932F4" w:rsidP="004A2BB3">
            <w:pPr>
              <w:pStyle w:val="NoSpacing"/>
            </w:pPr>
          </w:p>
          <w:p w14:paraId="160B94AF" w14:textId="77777777" w:rsidR="005932F4" w:rsidRDefault="005932F4" w:rsidP="004A2BB3">
            <w:pPr>
              <w:pStyle w:val="NoSpacing"/>
            </w:pPr>
            <w:r>
              <w:t>Payee Bank details</w:t>
            </w:r>
          </w:p>
          <w:p w14:paraId="5553B026" w14:textId="77777777" w:rsidR="005932F4" w:rsidRDefault="005932F4" w:rsidP="004A2BB3">
            <w:pPr>
              <w:pStyle w:val="NoSpacing"/>
            </w:pPr>
          </w:p>
          <w:p w14:paraId="069992F3" w14:textId="77777777" w:rsidR="005932F4" w:rsidRDefault="005932F4" w:rsidP="004A2BB3">
            <w:pPr>
              <w:pStyle w:val="NoSpacing"/>
            </w:pPr>
          </w:p>
        </w:tc>
        <w:tc>
          <w:tcPr>
            <w:tcW w:w="5130" w:type="dxa"/>
          </w:tcPr>
          <w:p w14:paraId="4CA73264" w14:textId="77777777" w:rsidR="005932F4" w:rsidRDefault="005932F4" w:rsidP="004A2BB3">
            <w:pPr>
              <w:pStyle w:val="NoSpacing"/>
            </w:pPr>
            <w:r>
              <w:t>Account name:</w:t>
            </w:r>
          </w:p>
          <w:p w14:paraId="4545166C" w14:textId="77777777" w:rsidR="005932F4" w:rsidRDefault="005932F4" w:rsidP="004A2BB3">
            <w:pPr>
              <w:pStyle w:val="NoSpacing"/>
            </w:pPr>
          </w:p>
          <w:p w14:paraId="0679FCE3" w14:textId="77777777" w:rsidR="005932F4" w:rsidRDefault="005932F4" w:rsidP="004A2BB3">
            <w:pPr>
              <w:pStyle w:val="NoSpacing"/>
            </w:pPr>
          </w:p>
          <w:p w14:paraId="10E7472A" w14:textId="77777777" w:rsidR="005932F4" w:rsidRDefault="005932F4" w:rsidP="004A2BB3">
            <w:pPr>
              <w:pStyle w:val="NoSpacing"/>
            </w:pPr>
          </w:p>
          <w:p w14:paraId="13A1E0AA" w14:textId="77777777" w:rsidR="005932F4" w:rsidRDefault="005932F4" w:rsidP="004A2BB3">
            <w:pPr>
              <w:pStyle w:val="NoSpacing"/>
            </w:pPr>
            <w:r>
              <w:t>Name of Bank:</w:t>
            </w:r>
          </w:p>
          <w:p w14:paraId="44349B65" w14:textId="77777777" w:rsidR="005932F4" w:rsidRDefault="005932F4" w:rsidP="004A2BB3">
            <w:pPr>
              <w:pStyle w:val="NoSpacing"/>
            </w:pPr>
          </w:p>
          <w:p w14:paraId="313A5007" w14:textId="77777777" w:rsidR="005932F4" w:rsidRDefault="005932F4" w:rsidP="004A2BB3">
            <w:pPr>
              <w:pStyle w:val="NoSpacing"/>
            </w:pPr>
          </w:p>
          <w:p w14:paraId="251CEA52" w14:textId="77777777" w:rsidR="005932F4" w:rsidRDefault="005932F4" w:rsidP="004A2BB3">
            <w:pPr>
              <w:pStyle w:val="NoSpacing"/>
            </w:pPr>
          </w:p>
          <w:p w14:paraId="61561418" w14:textId="77777777" w:rsidR="005932F4" w:rsidRDefault="005932F4" w:rsidP="004A2BB3">
            <w:pPr>
              <w:pStyle w:val="NoSpacing"/>
            </w:pPr>
            <w:r>
              <w:t>Sort code:</w:t>
            </w:r>
          </w:p>
          <w:p w14:paraId="3E4DC16C" w14:textId="77777777" w:rsidR="005932F4" w:rsidRDefault="005932F4" w:rsidP="004A2BB3">
            <w:pPr>
              <w:pStyle w:val="NoSpacing"/>
            </w:pPr>
          </w:p>
          <w:p w14:paraId="48022ADE" w14:textId="77777777" w:rsidR="005932F4" w:rsidRDefault="005932F4" w:rsidP="004A2BB3">
            <w:pPr>
              <w:pStyle w:val="NoSpacing"/>
            </w:pPr>
          </w:p>
          <w:p w14:paraId="1633704D" w14:textId="77777777" w:rsidR="005932F4" w:rsidRDefault="005932F4" w:rsidP="004A2BB3">
            <w:pPr>
              <w:pStyle w:val="NoSpacing"/>
            </w:pPr>
            <w:r>
              <w:t>Account number:</w:t>
            </w:r>
          </w:p>
          <w:p w14:paraId="4E67F1CB" w14:textId="77777777" w:rsidR="005932F4" w:rsidRDefault="005932F4" w:rsidP="004A2BB3">
            <w:pPr>
              <w:pStyle w:val="NoSpacing"/>
            </w:pPr>
          </w:p>
          <w:p w14:paraId="04B3DEF4" w14:textId="77777777" w:rsidR="005932F4" w:rsidRDefault="005932F4" w:rsidP="004A2BB3">
            <w:pPr>
              <w:pStyle w:val="NoSpacing"/>
            </w:pPr>
          </w:p>
          <w:p w14:paraId="037CE0D4" w14:textId="77777777" w:rsidR="005932F4" w:rsidRDefault="005932F4" w:rsidP="004A2BB3">
            <w:pPr>
              <w:pStyle w:val="NoSpacing"/>
            </w:pPr>
          </w:p>
          <w:p w14:paraId="68C9E29B" w14:textId="77777777" w:rsidR="005932F4" w:rsidRDefault="005932F4" w:rsidP="004A2BB3">
            <w:pPr>
              <w:pStyle w:val="NoSpacing"/>
            </w:pPr>
          </w:p>
        </w:tc>
      </w:tr>
      <w:tr w:rsidR="005932F4" w14:paraId="6CC73205" w14:textId="77777777" w:rsidTr="004A2BB3">
        <w:tc>
          <w:tcPr>
            <w:tcW w:w="2605" w:type="dxa"/>
          </w:tcPr>
          <w:p w14:paraId="4448650B" w14:textId="77777777" w:rsidR="005932F4" w:rsidRDefault="005932F4" w:rsidP="004A2BB3">
            <w:pPr>
              <w:pStyle w:val="NoSpacing"/>
            </w:pPr>
            <w:r>
              <w:t>Signature:</w:t>
            </w:r>
          </w:p>
          <w:p w14:paraId="28593170" w14:textId="77777777" w:rsidR="005932F4" w:rsidRDefault="005932F4" w:rsidP="004A2BB3">
            <w:pPr>
              <w:pStyle w:val="NoSpacing"/>
            </w:pPr>
          </w:p>
        </w:tc>
        <w:tc>
          <w:tcPr>
            <w:tcW w:w="5130" w:type="dxa"/>
          </w:tcPr>
          <w:p w14:paraId="00CA5262" w14:textId="77777777" w:rsidR="005932F4" w:rsidRDefault="005932F4" w:rsidP="004A2BB3">
            <w:pPr>
              <w:pStyle w:val="NoSpacing"/>
            </w:pPr>
          </w:p>
        </w:tc>
      </w:tr>
      <w:tr w:rsidR="005932F4" w14:paraId="2A66618B" w14:textId="77777777" w:rsidTr="004A2BB3">
        <w:tc>
          <w:tcPr>
            <w:tcW w:w="2605" w:type="dxa"/>
          </w:tcPr>
          <w:p w14:paraId="30D6E168" w14:textId="77777777" w:rsidR="005932F4" w:rsidRDefault="005932F4" w:rsidP="004A2BB3">
            <w:pPr>
              <w:pStyle w:val="NoSpacing"/>
            </w:pPr>
            <w:r>
              <w:t>Print name:</w:t>
            </w:r>
          </w:p>
          <w:p w14:paraId="3E920DE6" w14:textId="77777777" w:rsidR="005932F4" w:rsidRDefault="005932F4" w:rsidP="004A2BB3">
            <w:pPr>
              <w:pStyle w:val="NoSpacing"/>
            </w:pPr>
          </w:p>
        </w:tc>
        <w:tc>
          <w:tcPr>
            <w:tcW w:w="5130" w:type="dxa"/>
          </w:tcPr>
          <w:p w14:paraId="042C1676" w14:textId="77777777" w:rsidR="005932F4" w:rsidRDefault="005932F4" w:rsidP="004A2BB3">
            <w:pPr>
              <w:pStyle w:val="NoSpacing"/>
            </w:pPr>
          </w:p>
        </w:tc>
      </w:tr>
      <w:tr w:rsidR="005932F4" w14:paraId="4FB9D472" w14:textId="77777777" w:rsidTr="004A2BB3">
        <w:tc>
          <w:tcPr>
            <w:tcW w:w="2605" w:type="dxa"/>
          </w:tcPr>
          <w:p w14:paraId="34B8DF93" w14:textId="77777777" w:rsidR="005932F4" w:rsidRDefault="005932F4" w:rsidP="004A2BB3">
            <w:pPr>
              <w:pStyle w:val="NoSpacing"/>
            </w:pPr>
            <w:r>
              <w:t>Date:</w:t>
            </w:r>
          </w:p>
          <w:p w14:paraId="3365C838" w14:textId="77777777" w:rsidR="005932F4" w:rsidRDefault="005932F4" w:rsidP="004A2BB3">
            <w:pPr>
              <w:pStyle w:val="NoSpacing"/>
            </w:pPr>
          </w:p>
        </w:tc>
        <w:tc>
          <w:tcPr>
            <w:tcW w:w="5130" w:type="dxa"/>
          </w:tcPr>
          <w:p w14:paraId="62BEE090" w14:textId="77777777" w:rsidR="005932F4" w:rsidRDefault="005932F4" w:rsidP="004A2BB3">
            <w:pPr>
              <w:pStyle w:val="NoSpacing"/>
            </w:pPr>
          </w:p>
        </w:tc>
      </w:tr>
    </w:tbl>
    <w:p w14:paraId="045ACE1C" w14:textId="31F35748" w:rsidR="005932F4" w:rsidRDefault="005932F4"/>
    <w:p w14:paraId="5F683D1F" w14:textId="3CFDB18B" w:rsidR="000A66FB" w:rsidRDefault="000A66FB"/>
    <w:bookmarkEnd w:id="1"/>
    <w:p w14:paraId="3C6F62B9" w14:textId="08DCC19D" w:rsidR="004D1CEE" w:rsidRPr="00E374D0" w:rsidRDefault="004D1CEE">
      <w:pPr>
        <w:rPr>
          <w:sz w:val="24"/>
          <w:szCs w:val="24"/>
        </w:rPr>
      </w:pPr>
      <w:r w:rsidRPr="00E374D0">
        <w:rPr>
          <w:sz w:val="24"/>
          <w:szCs w:val="24"/>
        </w:rPr>
        <w:t>Appendix 3</w:t>
      </w:r>
    </w:p>
    <w:tbl>
      <w:tblPr>
        <w:tblStyle w:val="TableGrid"/>
        <w:tblW w:w="10490" w:type="dxa"/>
        <w:tblInd w:w="-572" w:type="dxa"/>
        <w:tblLook w:val="04A0" w:firstRow="1" w:lastRow="0" w:firstColumn="1" w:lastColumn="0" w:noHBand="0" w:noVBand="1"/>
      </w:tblPr>
      <w:tblGrid>
        <w:gridCol w:w="10490"/>
      </w:tblGrid>
      <w:tr w:rsidR="00E374D0" w14:paraId="14CE179F" w14:textId="77777777" w:rsidTr="00E374D0">
        <w:tc>
          <w:tcPr>
            <w:tcW w:w="10490" w:type="dxa"/>
            <w:shd w:val="clear" w:color="auto" w:fill="B4C6E7" w:themeFill="accent1" w:themeFillTint="66"/>
          </w:tcPr>
          <w:p w14:paraId="4C3E8055" w14:textId="6392DFF7" w:rsidR="00E374D0" w:rsidRDefault="00E374D0" w:rsidP="00D8184C">
            <w:r>
              <w:lastRenderedPageBreak/>
              <w:t>CO Protocol</w:t>
            </w:r>
          </w:p>
        </w:tc>
      </w:tr>
      <w:tr w:rsidR="00E374D0" w14:paraId="3A57366E" w14:textId="77777777" w:rsidTr="00E374D0">
        <w:tc>
          <w:tcPr>
            <w:tcW w:w="10490" w:type="dxa"/>
          </w:tcPr>
          <w:p w14:paraId="4DF7E69F" w14:textId="537D623B" w:rsidR="00E374D0" w:rsidRDefault="00E374D0" w:rsidP="00D8184C">
            <w:r>
              <w:t>Version updated: 12.03.2024</w:t>
            </w:r>
          </w:p>
        </w:tc>
      </w:tr>
      <w:tr w:rsidR="00E374D0" w14:paraId="27490500" w14:textId="77777777" w:rsidTr="00E374D0">
        <w:tc>
          <w:tcPr>
            <w:tcW w:w="10490" w:type="dxa"/>
          </w:tcPr>
          <w:p w14:paraId="5A31103E" w14:textId="2DCE713F" w:rsidR="00E374D0" w:rsidRDefault="00E374D0" w:rsidP="00D8184C">
            <w:r>
              <w:t>Review date: 31.03.2025</w:t>
            </w:r>
          </w:p>
        </w:tc>
      </w:tr>
      <w:tr w:rsidR="00334E14" w14:paraId="54877972" w14:textId="77777777" w:rsidTr="00E374D0">
        <w:tc>
          <w:tcPr>
            <w:tcW w:w="10490" w:type="dxa"/>
          </w:tcPr>
          <w:p w14:paraId="347A7ED6" w14:textId="3702FE26" w:rsidR="00334E14" w:rsidRPr="00E374D0" w:rsidRDefault="00E374D0" w:rsidP="00D8184C">
            <w:pPr>
              <w:rPr>
                <w:b/>
                <w:bCs/>
              </w:rPr>
            </w:pPr>
            <w:r w:rsidRPr="00E374D0">
              <w:rPr>
                <w:b/>
                <w:bCs/>
              </w:rPr>
              <w:t>Purpose</w:t>
            </w:r>
          </w:p>
          <w:p w14:paraId="72AB2179" w14:textId="77777777" w:rsidR="004D1CEE" w:rsidRDefault="004D1CEE" w:rsidP="00D8184C"/>
          <w:p w14:paraId="5A60A4FE" w14:textId="77777777" w:rsidR="00334E14" w:rsidRDefault="00334E14" w:rsidP="00D8184C">
            <w:r>
              <w:t xml:space="preserve">To ensure robust service delivery and data quality. </w:t>
            </w:r>
          </w:p>
          <w:p w14:paraId="48A68887" w14:textId="77777777" w:rsidR="00334E14" w:rsidRDefault="00334E14" w:rsidP="00D8184C">
            <w:r>
              <w:t>To ensure correct use of CO monitors and comply with infection control.</w:t>
            </w:r>
          </w:p>
          <w:p w14:paraId="37D07E3B" w14:textId="77777777" w:rsidR="00334E14" w:rsidRDefault="00334E14" w:rsidP="00D8184C"/>
        </w:tc>
      </w:tr>
      <w:tr w:rsidR="00334E14" w14:paraId="1073DFAB" w14:textId="77777777" w:rsidTr="00E374D0">
        <w:tc>
          <w:tcPr>
            <w:tcW w:w="10490" w:type="dxa"/>
            <w:shd w:val="clear" w:color="auto" w:fill="8EAADB" w:themeFill="accent1" w:themeFillTint="99"/>
          </w:tcPr>
          <w:p w14:paraId="6C4AE659" w14:textId="77777777" w:rsidR="00334E14" w:rsidRDefault="00334E14" w:rsidP="00D8184C">
            <w:r>
              <w:t>Background</w:t>
            </w:r>
          </w:p>
        </w:tc>
      </w:tr>
      <w:tr w:rsidR="00334E14" w14:paraId="05C472F5" w14:textId="77777777" w:rsidTr="00E374D0">
        <w:tc>
          <w:tcPr>
            <w:tcW w:w="10490" w:type="dxa"/>
          </w:tcPr>
          <w:p w14:paraId="485855FF" w14:textId="77777777" w:rsidR="00334E14" w:rsidRDefault="00334E14" w:rsidP="00D8184C"/>
          <w:p w14:paraId="7FE7FE49" w14:textId="18B9B075" w:rsidR="00334E14" w:rsidRDefault="00334E14" w:rsidP="00D8184C">
            <w:r>
              <w:t>Carbon Monoxide (CO) is a toxic gas which is inhaled by smokers from cigarettes. It binds to carboxyhaemoglobin (</w:t>
            </w:r>
            <w:proofErr w:type="spellStart"/>
            <w:r>
              <w:t>COhb</w:t>
            </w:r>
            <w:proofErr w:type="spellEnd"/>
            <w:r>
              <w:t xml:space="preserve">) leading to arterial walls becoming more permeable, increasing the formation of plaque. In pregnancy, CO inhibits the release of oxygen into foetal tissue. Due to its` short half-life the elimination of CO from the body becomes slower as smoking </w:t>
            </w:r>
            <w:r w:rsidR="00FF6A4F">
              <w:t>decreases and</w:t>
            </w:r>
            <w:r>
              <w:t xml:space="preserve"> is usually undetectable after 24 hours after the last cigarette is smoked.</w:t>
            </w:r>
          </w:p>
          <w:p w14:paraId="021330E2" w14:textId="77777777" w:rsidR="00334E14" w:rsidRDefault="00334E14" w:rsidP="00D8184C"/>
          <w:p w14:paraId="3546F30B" w14:textId="77777777" w:rsidR="00334E14" w:rsidRDefault="00334E14" w:rsidP="00D8184C">
            <w:r>
              <w:t>CO monitoring is an evidenced based, non-invasive, cost effective, highly motivating tool for smokers trying to quit. The test provides a digital result, parts per million, (ppm). It is also an alternative measure of success in a harm reduction approach where clients are cutting down the number cigarettes prior to quitting or temporary abstinence.</w:t>
            </w:r>
          </w:p>
          <w:p w14:paraId="7DE6B587" w14:textId="77777777" w:rsidR="00334E14" w:rsidRDefault="00334E14" w:rsidP="00D8184C"/>
          <w:p w14:paraId="16CEE64B" w14:textId="7BC263E4" w:rsidR="00334E14" w:rsidRDefault="00334E14" w:rsidP="00D8184C">
            <w:r>
              <w:t xml:space="preserve">Heavy smoking or mode of smoking, for example, Shisha / Water pipes, or alternative products such as Cannabis, can result in higher levels of CO.  Lactose intolerance can also result in raised expired CO levels. Abnormally high expired CO levels (70 + ppm) could also be due to the exposure of faulty gas appliances. In these circumstances the client should be given advice about CO poisoning, if </w:t>
            </w:r>
            <w:r w:rsidR="00FF6A4F">
              <w:t>necessary,</w:t>
            </w:r>
            <w:r>
              <w:t xml:space="preserve"> advised to attend Accident and Emergency and encouraged to contact the Health and Safety Executive, tel. 0800 300 363.</w:t>
            </w:r>
          </w:p>
          <w:p w14:paraId="1A65949A" w14:textId="77777777" w:rsidR="00334E14" w:rsidRDefault="00334E14" w:rsidP="00D8184C"/>
          <w:p w14:paraId="4602AB1E" w14:textId="1D037FDF" w:rsidR="00334E14" w:rsidRDefault="00334E14" w:rsidP="00D8184C">
            <w:r>
              <w:t xml:space="preserve">The effects of chronic exposure to CO include headache, </w:t>
            </w:r>
            <w:r w:rsidR="00FF6A4F">
              <w:t>fatigue,</w:t>
            </w:r>
            <w:r>
              <w:t xml:space="preserve"> and poor concentration.</w:t>
            </w:r>
          </w:p>
          <w:p w14:paraId="6F6B6933" w14:textId="77777777" w:rsidR="00334E14" w:rsidRDefault="00334E14" w:rsidP="00D8184C"/>
          <w:p w14:paraId="06AFB86D" w14:textId="42235FC5" w:rsidR="00334E14" w:rsidRDefault="00334E14" w:rsidP="00D8184C">
            <w:r>
              <w:t xml:space="preserve">CO verification rates are an essential marker of data quality as self-reporting can be unreliable, therefore CO verification rates are one of the most important markers of data quality. 85% of </w:t>
            </w:r>
            <w:r w:rsidR="004D1CEE">
              <w:t>4-week</w:t>
            </w:r>
            <w:r>
              <w:t xml:space="preserve"> quitters must be CO validated.</w:t>
            </w:r>
          </w:p>
          <w:p w14:paraId="1E42DA7B" w14:textId="77777777" w:rsidR="00334E14" w:rsidRDefault="00334E14" w:rsidP="00D8184C"/>
        </w:tc>
      </w:tr>
      <w:tr w:rsidR="00334E14" w14:paraId="71BFE720" w14:textId="77777777" w:rsidTr="00E374D0">
        <w:tc>
          <w:tcPr>
            <w:tcW w:w="10490" w:type="dxa"/>
            <w:shd w:val="clear" w:color="auto" w:fill="8EAADB" w:themeFill="accent1" w:themeFillTint="99"/>
          </w:tcPr>
          <w:p w14:paraId="5C7AE569" w14:textId="77777777" w:rsidR="00334E14" w:rsidRDefault="00334E14" w:rsidP="00D8184C">
            <w:r>
              <w:t>CO testing</w:t>
            </w:r>
          </w:p>
        </w:tc>
      </w:tr>
      <w:tr w:rsidR="00334E14" w14:paraId="128D107D" w14:textId="77777777" w:rsidTr="00E374D0">
        <w:tc>
          <w:tcPr>
            <w:tcW w:w="10490" w:type="dxa"/>
          </w:tcPr>
          <w:p w14:paraId="6A12ABBC" w14:textId="77777777" w:rsidR="00334E14" w:rsidRDefault="00334E14" w:rsidP="00D8184C"/>
          <w:p w14:paraId="237EEE67" w14:textId="42E32F37" w:rsidR="004D1CEE" w:rsidRDefault="00334E14" w:rsidP="004D1CEE">
            <w:r>
              <w:t>CO testing should be carried out on all smokers to provide a marker of smoking status at every consultation.</w:t>
            </w:r>
            <w:r w:rsidR="004D1CEE">
              <w:t xml:space="preserve"> CO testing should be carried out on all smokers to provide a marker of smoking status at every consultation.</w:t>
            </w:r>
          </w:p>
          <w:p w14:paraId="578C9D2A" w14:textId="77777777" w:rsidR="004D1CEE" w:rsidRDefault="004D1CEE" w:rsidP="004D1CEE"/>
          <w:p w14:paraId="3AFA4561" w14:textId="77777777" w:rsidR="00334E14" w:rsidRDefault="00334E14" w:rsidP="00D8184C"/>
          <w:p w14:paraId="2E4479A0" w14:textId="77777777" w:rsidR="00334E14" w:rsidRDefault="00334E14" w:rsidP="00D8184C">
            <w:r>
              <w:t>Clients should be asked to hold their breath for 15 seconds (10 seconds minimum) before blowing into the monitor.  Clients with physical inability to hold their breath for 15 seconds, for example those with COPD, may need to practice holding their breath, to enable them to complete the test. In certain circumstances this will not be possible.</w:t>
            </w:r>
          </w:p>
          <w:p w14:paraId="13FAAB5F" w14:textId="77777777" w:rsidR="00334E14" w:rsidRDefault="00334E14" w:rsidP="00D8184C"/>
        </w:tc>
      </w:tr>
      <w:tr w:rsidR="00334E14" w14:paraId="47E96055" w14:textId="77777777" w:rsidTr="00E374D0">
        <w:tc>
          <w:tcPr>
            <w:tcW w:w="10490" w:type="dxa"/>
            <w:shd w:val="clear" w:color="auto" w:fill="8EAADB" w:themeFill="accent1" w:themeFillTint="99"/>
          </w:tcPr>
          <w:p w14:paraId="48BE4EFF" w14:textId="77777777" w:rsidR="00334E14" w:rsidRDefault="00334E14" w:rsidP="00D8184C">
            <w:r>
              <w:t>Infection control</w:t>
            </w:r>
          </w:p>
        </w:tc>
      </w:tr>
      <w:tr w:rsidR="00334E14" w14:paraId="5BBBD2C5" w14:textId="77777777" w:rsidTr="00E374D0">
        <w:tc>
          <w:tcPr>
            <w:tcW w:w="10490" w:type="dxa"/>
          </w:tcPr>
          <w:p w14:paraId="5F217298" w14:textId="77777777" w:rsidR="00334E14" w:rsidRDefault="00334E14" w:rsidP="00D8184C"/>
          <w:p w14:paraId="213629A1" w14:textId="77777777" w:rsidR="00334E14" w:rsidRDefault="00334E14" w:rsidP="00D8184C">
            <w:r>
              <w:t xml:space="preserve">Hand gel containing alcohol must NOT be used. </w:t>
            </w:r>
          </w:p>
          <w:p w14:paraId="35E7DB5B" w14:textId="77777777" w:rsidR="00334E14" w:rsidRDefault="00334E14" w:rsidP="00D8184C"/>
          <w:p w14:paraId="1AD7120B" w14:textId="77777777" w:rsidR="00334E14" w:rsidRDefault="00334E14" w:rsidP="00D8184C">
            <w:pPr>
              <w:rPr>
                <w:color w:val="FF0000"/>
              </w:rPr>
            </w:pPr>
            <w:r>
              <w:t>Cardboard tubes or straws are single use only and must be changed for every client. The client should be asked to insert and remove the tube or straw from the monitor. They must be discarded into a waste bag and disposed of safely. In circumstances where there is a possibility of higher infection risk the waste should be double bagged and the bag disposed safely.</w:t>
            </w:r>
          </w:p>
          <w:p w14:paraId="47DBFD9F" w14:textId="77777777" w:rsidR="00334E14" w:rsidRDefault="00334E14" w:rsidP="00D8184C"/>
          <w:p w14:paraId="5D9D9D7E" w14:textId="77777777" w:rsidR="00334E14" w:rsidRDefault="00334E14" w:rsidP="00D8184C">
            <w:pPr>
              <w:rPr>
                <w:color w:val="FF0000"/>
              </w:rPr>
            </w:pPr>
            <w:r w:rsidRPr="02532764">
              <w:rPr>
                <w:color w:val="FF0000"/>
              </w:rPr>
              <w:t>During exceptional circumstances, for example times of a pandemic, guidance must be adhered to from Public Health England. CO validation must not be done.</w:t>
            </w:r>
          </w:p>
          <w:p w14:paraId="02AFD7B9" w14:textId="77777777" w:rsidR="00334E14" w:rsidRDefault="00334E14" w:rsidP="00D8184C">
            <w:pPr>
              <w:rPr>
                <w:color w:val="FF0000"/>
              </w:rPr>
            </w:pPr>
          </w:p>
          <w:p w14:paraId="2EF38BBB" w14:textId="083F0848" w:rsidR="00334E14" w:rsidRDefault="00334E14" w:rsidP="00D8184C">
            <w:r>
              <w:t xml:space="preserve">Where applicable, an adapter should be used which has a one- way valve that prevents inhalation from the monitor. Changing adapters must comply with the </w:t>
            </w:r>
            <w:r w:rsidR="00FF6A4F">
              <w:t>manufacture’s</w:t>
            </w:r>
            <w:r>
              <w:t xml:space="preserve"> guidelines. Monitors must be cleaned after every session with non-alcohol </w:t>
            </w:r>
            <w:proofErr w:type="spellStart"/>
            <w:r>
              <w:t>Clinelle</w:t>
            </w:r>
            <w:proofErr w:type="spellEnd"/>
            <w:r>
              <w:t xml:space="preserve"> or an alternative anti-bacterial wipe. </w:t>
            </w:r>
          </w:p>
          <w:p w14:paraId="50444F44" w14:textId="77777777" w:rsidR="00334E14" w:rsidRPr="00876223" w:rsidRDefault="00334E14" w:rsidP="00D8184C"/>
          <w:p w14:paraId="67A1B55F" w14:textId="0D2F5E3B" w:rsidR="00334E14" w:rsidRPr="00876223" w:rsidRDefault="00334E14" w:rsidP="00D8184C">
            <w:r w:rsidRPr="00876223">
              <w:t xml:space="preserve">The necessary frequency of changing T pieces are as </w:t>
            </w:r>
            <w:r w:rsidR="00FF6A4F" w:rsidRPr="00876223">
              <w:t>follows: -</w:t>
            </w:r>
            <w:r w:rsidRPr="00876223">
              <w:t xml:space="preserve"> Usage </w:t>
            </w:r>
            <w:r w:rsidR="00FF6A4F" w:rsidRPr="00876223">
              <w:t>guidance.</w:t>
            </w:r>
          </w:p>
          <w:p w14:paraId="41B7FD44" w14:textId="77777777" w:rsidR="00334E14" w:rsidRDefault="00334E14" w:rsidP="00D8184C">
            <w:pPr>
              <w:rPr>
                <w:color w:val="FF0000"/>
              </w:rPr>
            </w:pPr>
          </w:p>
          <w:p w14:paraId="4A7BE7EE" w14:textId="754899A7" w:rsidR="00334E14" w:rsidRPr="00EC5868" w:rsidRDefault="00334E14" w:rsidP="00D8184C">
            <w:r w:rsidRPr="00EC5868">
              <w:t>Micro-medical</w:t>
            </w:r>
            <w:r>
              <w:t xml:space="preserve"> – the adapter must be discarded and replaced every 6 </w:t>
            </w:r>
            <w:r w:rsidR="00FF6A4F">
              <w:t>months.</w:t>
            </w:r>
          </w:p>
          <w:p w14:paraId="0E7D6137" w14:textId="1FCF8C5A" w:rsidR="00334E14" w:rsidRPr="009027DD" w:rsidRDefault="00334E14" w:rsidP="00D8184C">
            <w:r>
              <w:t xml:space="preserve">            </w:t>
            </w:r>
            <w:r w:rsidRPr="009027DD">
              <w:t>Bedfont –</w:t>
            </w:r>
            <w:r>
              <w:t xml:space="preserve"> </w:t>
            </w:r>
            <w:r w:rsidRPr="009027DD">
              <w:t xml:space="preserve">the T pieces must be replaced </w:t>
            </w:r>
            <w:r w:rsidR="00FF6A4F" w:rsidRPr="009027DD">
              <w:t>monthly.</w:t>
            </w:r>
          </w:p>
          <w:p w14:paraId="7B0746F4" w14:textId="1EF4B83F" w:rsidR="00334E14" w:rsidRDefault="00334E14" w:rsidP="00D8184C">
            <w:r>
              <w:t xml:space="preserve">         </w:t>
            </w:r>
            <w:r w:rsidRPr="009027DD">
              <w:t>BNC 2000</w:t>
            </w:r>
            <w:r>
              <w:t xml:space="preserve"> </w:t>
            </w:r>
            <w:r w:rsidR="00FF6A4F">
              <w:t>- the</w:t>
            </w:r>
            <w:r w:rsidRPr="009027DD">
              <w:t xml:space="preserve"> adapters must be replaced </w:t>
            </w:r>
            <w:r w:rsidR="00FF6A4F" w:rsidRPr="009027DD">
              <w:t>quarterly.</w:t>
            </w:r>
          </w:p>
          <w:p w14:paraId="613A05E2" w14:textId="77777777" w:rsidR="00334E14" w:rsidRDefault="00334E14" w:rsidP="00D8184C"/>
          <w:p w14:paraId="0A00AA10" w14:textId="28FDD62D" w:rsidR="00334E14" w:rsidRDefault="00334E14" w:rsidP="00D8184C">
            <w:r>
              <w:t xml:space="preserve">All monitors must be calibrated, where necessary, according to manufactures instructions and checked regularly, with normal usage 6 </w:t>
            </w:r>
            <w:r w:rsidR="00FF6A4F">
              <w:t>monthly. This</w:t>
            </w:r>
            <w:r>
              <w:t xml:space="preserve"> must be dated and electronically logged by the core Nicotine and Smoking Cessation service.</w:t>
            </w:r>
          </w:p>
          <w:p w14:paraId="5688DE0F" w14:textId="77777777" w:rsidR="00334E14" w:rsidRDefault="00334E14" w:rsidP="00D8184C"/>
        </w:tc>
      </w:tr>
    </w:tbl>
    <w:p w14:paraId="17734DBC" w14:textId="3D79E24A" w:rsidR="000A66FB" w:rsidRDefault="000A66FB"/>
    <w:p w14:paraId="07EB052E" w14:textId="5E327673" w:rsidR="000A66FB" w:rsidRDefault="000A66FB"/>
    <w:p w14:paraId="50F6F138" w14:textId="2C90CA36" w:rsidR="000A66FB" w:rsidRDefault="000A66FB"/>
    <w:p w14:paraId="49AA3D6D" w14:textId="23036733" w:rsidR="000A66FB" w:rsidRDefault="000A66FB"/>
    <w:p w14:paraId="549AD8E2" w14:textId="77777777" w:rsidR="000A66FB" w:rsidRDefault="000A66FB"/>
    <w:sectPr w:rsidR="000A66F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B020" w14:textId="77777777" w:rsidR="00446477" w:rsidRDefault="00446477" w:rsidP="00816627">
      <w:pPr>
        <w:spacing w:after="0" w:line="240" w:lineRule="auto"/>
      </w:pPr>
      <w:r>
        <w:separator/>
      </w:r>
    </w:p>
  </w:endnote>
  <w:endnote w:type="continuationSeparator" w:id="0">
    <w:p w14:paraId="47371485" w14:textId="77777777" w:rsidR="00446477" w:rsidRDefault="00446477" w:rsidP="0081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979D" w14:textId="77777777" w:rsidR="005932F4" w:rsidRDefault="0059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717049"/>
      <w:docPartObj>
        <w:docPartGallery w:val="Page Numbers (Bottom of Page)"/>
        <w:docPartUnique/>
      </w:docPartObj>
    </w:sdtPr>
    <w:sdtEndPr>
      <w:rPr>
        <w:noProof/>
      </w:rPr>
    </w:sdtEndPr>
    <w:sdtContent>
      <w:p w14:paraId="3FAD97B4" w14:textId="323B83E4" w:rsidR="00631265" w:rsidRDefault="006312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8F1630" w14:textId="77777777" w:rsidR="00816627" w:rsidRDefault="0081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0534" w14:textId="77777777" w:rsidR="005932F4" w:rsidRDefault="00593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AEBA0" w14:textId="77777777" w:rsidR="00446477" w:rsidRDefault="00446477" w:rsidP="00816627">
      <w:pPr>
        <w:spacing w:after="0" w:line="240" w:lineRule="auto"/>
      </w:pPr>
      <w:r>
        <w:separator/>
      </w:r>
    </w:p>
  </w:footnote>
  <w:footnote w:type="continuationSeparator" w:id="0">
    <w:p w14:paraId="00191971" w14:textId="77777777" w:rsidR="00446477" w:rsidRDefault="00446477" w:rsidP="00816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F1CD" w14:textId="77777777" w:rsidR="005932F4" w:rsidRDefault="00593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5ADC" w14:textId="6C04B8FA" w:rsidR="00816627" w:rsidRDefault="00A95ECB">
    <w:pPr>
      <w:pStyle w:val="Header"/>
    </w:pPr>
    <w:r>
      <w:rPr>
        <w:noProof/>
      </w:rPr>
      <w:drawing>
        <wp:inline distT="0" distB="0" distL="0" distR="0" wp14:anchorId="0C39529F" wp14:editId="0E2364B9">
          <wp:extent cx="1139394" cy="681624"/>
          <wp:effectExtent l="0" t="0" r="3810" b="4445"/>
          <wp:docPr id="2" name="Picture 3" descr="Logo&#10;&#10;Description automatically generated">
            <a:extLst xmlns:a="http://schemas.openxmlformats.org/drawingml/2006/main">
              <a:ext uri="{FF2B5EF4-FFF2-40B4-BE49-F238E27FC236}">
                <a16:creationId xmlns:a16="http://schemas.microsoft.com/office/drawing/2014/main" id="{F32E4850-3630-0484-E929-C75F06102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10;&#10;Description automatically generated">
                    <a:extLst>
                      <a:ext uri="{FF2B5EF4-FFF2-40B4-BE49-F238E27FC236}">
                        <a16:creationId xmlns:a16="http://schemas.microsoft.com/office/drawing/2014/main" id="{F32E4850-3630-0484-E929-C75F061026C1}"/>
                      </a:ext>
                    </a:extLst>
                  </pic:cNvPr>
                  <pic:cNvPicPr>
                    <a:picLocks noChangeAspect="1"/>
                  </pic:cNvPicPr>
                </pic:nvPicPr>
                <pic:blipFill>
                  <a:blip r:embed="rId1"/>
                  <a:stretch>
                    <a:fillRect/>
                  </a:stretch>
                </pic:blipFill>
                <pic:spPr>
                  <a:xfrm>
                    <a:off x="0" y="0"/>
                    <a:ext cx="1139394" cy="6816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5BD4D" w14:textId="77777777" w:rsidR="005932F4" w:rsidRDefault="00593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167"/>
    <w:multiLevelType w:val="multilevel"/>
    <w:tmpl w:val="EE9C9D5A"/>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2E29BE"/>
    <w:multiLevelType w:val="multilevel"/>
    <w:tmpl w:val="453A201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3D07DF"/>
    <w:multiLevelType w:val="hybridMultilevel"/>
    <w:tmpl w:val="E354D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80C83"/>
    <w:multiLevelType w:val="multilevel"/>
    <w:tmpl w:val="52947B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E82D8A"/>
    <w:multiLevelType w:val="multilevel"/>
    <w:tmpl w:val="900232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CB3D96"/>
    <w:multiLevelType w:val="hybridMultilevel"/>
    <w:tmpl w:val="30C2C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1F009B"/>
    <w:multiLevelType w:val="hybridMultilevel"/>
    <w:tmpl w:val="EF32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B2400"/>
    <w:multiLevelType w:val="hybridMultilevel"/>
    <w:tmpl w:val="27E8641E"/>
    <w:lvl w:ilvl="0" w:tplc="AC305B62">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A11E8"/>
    <w:multiLevelType w:val="hybridMultilevel"/>
    <w:tmpl w:val="D890A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D5B5E"/>
    <w:multiLevelType w:val="multilevel"/>
    <w:tmpl w:val="221E2BA2"/>
    <w:lvl w:ilvl="0">
      <w:start w:val="1"/>
      <w:numFmt w:val="decimal"/>
      <w:lvlText w:val="%1."/>
      <w:lvlJc w:val="left"/>
      <w:pPr>
        <w:ind w:left="765" w:hanging="360"/>
      </w:pPr>
      <w:rPr>
        <w:rFonts w:hint="default"/>
      </w:rPr>
    </w:lvl>
    <w:lvl w:ilvl="1">
      <w:start w:val="5"/>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2D0D7892"/>
    <w:multiLevelType w:val="multilevel"/>
    <w:tmpl w:val="C96017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7A27CE"/>
    <w:multiLevelType w:val="hybridMultilevel"/>
    <w:tmpl w:val="6B807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B4E6B"/>
    <w:multiLevelType w:val="multilevel"/>
    <w:tmpl w:val="50C29B14"/>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636AB8"/>
    <w:multiLevelType w:val="hybridMultilevel"/>
    <w:tmpl w:val="79CA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5FBD"/>
    <w:multiLevelType w:val="multilevel"/>
    <w:tmpl w:val="4B4E844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426C82"/>
    <w:multiLevelType w:val="multilevel"/>
    <w:tmpl w:val="EE8640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9B5418"/>
    <w:multiLevelType w:val="multilevel"/>
    <w:tmpl w:val="B56ECE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125E52"/>
    <w:multiLevelType w:val="hybridMultilevel"/>
    <w:tmpl w:val="6F90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94A9F"/>
    <w:multiLevelType w:val="multilevel"/>
    <w:tmpl w:val="01BC0B2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66EBB"/>
    <w:multiLevelType w:val="multilevel"/>
    <w:tmpl w:val="8E3031E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7C0AFE"/>
    <w:multiLevelType w:val="multilevel"/>
    <w:tmpl w:val="A75854C0"/>
    <w:lvl w:ilvl="0">
      <w:start w:val="8"/>
      <w:numFmt w:val="decimal"/>
      <w:lvlText w:val="%1"/>
      <w:lvlJc w:val="left"/>
      <w:pPr>
        <w:ind w:left="360" w:hanging="360"/>
      </w:pPr>
      <w:rPr>
        <w:rFonts w:hint="default"/>
      </w:rPr>
    </w:lvl>
    <w:lvl w:ilvl="1">
      <w:start w:val="3"/>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21" w15:restartNumberingAfterBreak="0">
    <w:nsid w:val="5AF82F93"/>
    <w:multiLevelType w:val="hybridMultilevel"/>
    <w:tmpl w:val="30C2C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680048C"/>
    <w:multiLevelType w:val="multilevel"/>
    <w:tmpl w:val="5D2A8B66"/>
    <w:lvl w:ilvl="0">
      <w:start w:val="8"/>
      <w:numFmt w:val="decimal"/>
      <w:lvlText w:val="%1"/>
      <w:lvlJc w:val="left"/>
      <w:pPr>
        <w:ind w:left="360" w:hanging="360"/>
      </w:pPr>
      <w:rPr>
        <w:rFonts w:hint="default"/>
      </w:rPr>
    </w:lvl>
    <w:lvl w:ilvl="1">
      <w:start w:val="3"/>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abstractNum w:abstractNumId="23" w15:restartNumberingAfterBreak="0">
    <w:nsid w:val="6F4A3522"/>
    <w:multiLevelType w:val="multilevel"/>
    <w:tmpl w:val="5622A846"/>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3A4BC3"/>
    <w:multiLevelType w:val="multilevel"/>
    <w:tmpl w:val="5782943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F48510C"/>
    <w:multiLevelType w:val="multilevel"/>
    <w:tmpl w:val="F9EC87B8"/>
    <w:lvl w:ilvl="0">
      <w:start w:val="8"/>
      <w:numFmt w:val="decimal"/>
      <w:lvlText w:val="%1"/>
      <w:lvlJc w:val="left"/>
      <w:pPr>
        <w:ind w:left="360" w:hanging="360"/>
      </w:pPr>
      <w:rPr>
        <w:rFonts w:hint="default"/>
      </w:rPr>
    </w:lvl>
    <w:lvl w:ilvl="1">
      <w:start w:val="3"/>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num w:numId="1" w16cid:durableId="1656110715">
    <w:abstractNumId w:val="7"/>
  </w:num>
  <w:num w:numId="2" w16cid:durableId="1340232538">
    <w:abstractNumId w:val="0"/>
  </w:num>
  <w:num w:numId="3" w16cid:durableId="1272712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6981542">
    <w:abstractNumId w:val="23"/>
  </w:num>
  <w:num w:numId="5" w16cid:durableId="36976636">
    <w:abstractNumId w:val="9"/>
  </w:num>
  <w:num w:numId="6" w16cid:durableId="1992756366">
    <w:abstractNumId w:val="13"/>
  </w:num>
  <w:num w:numId="7" w16cid:durableId="1656571133">
    <w:abstractNumId w:val="1"/>
  </w:num>
  <w:num w:numId="8" w16cid:durableId="720447210">
    <w:abstractNumId w:val="11"/>
  </w:num>
  <w:num w:numId="9" w16cid:durableId="338696947">
    <w:abstractNumId w:val="10"/>
  </w:num>
  <w:num w:numId="10" w16cid:durableId="1320383085">
    <w:abstractNumId w:val="18"/>
  </w:num>
  <w:num w:numId="11" w16cid:durableId="1992051966">
    <w:abstractNumId w:val="8"/>
  </w:num>
  <w:num w:numId="12" w16cid:durableId="1949123113">
    <w:abstractNumId w:val="24"/>
  </w:num>
  <w:num w:numId="13" w16cid:durableId="1119907677">
    <w:abstractNumId w:val="3"/>
  </w:num>
  <w:num w:numId="14" w16cid:durableId="89159944">
    <w:abstractNumId w:val="19"/>
  </w:num>
  <w:num w:numId="15" w16cid:durableId="1822191551">
    <w:abstractNumId w:val="25"/>
  </w:num>
  <w:num w:numId="16" w16cid:durableId="723917285">
    <w:abstractNumId w:val="16"/>
  </w:num>
  <w:num w:numId="17" w16cid:durableId="1538005047">
    <w:abstractNumId w:val="22"/>
  </w:num>
  <w:num w:numId="18" w16cid:durableId="2061517871">
    <w:abstractNumId w:val="20"/>
  </w:num>
  <w:num w:numId="19" w16cid:durableId="973757933">
    <w:abstractNumId w:val="2"/>
  </w:num>
  <w:num w:numId="20" w16cid:durableId="839393108">
    <w:abstractNumId w:val="15"/>
  </w:num>
  <w:num w:numId="21" w16cid:durableId="1197112703">
    <w:abstractNumId w:val="14"/>
  </w:num>
  <w:num w:numId="22" w16cid:durableId="967860437">
    <w:abstractNumId w:val="12"/>
  </w:num>
  <w:num w:numId="23" w16cid:durableId="992611630">
    <w:abstractNumId w:val="5"/>
  </w:num>
  <w:num w:numId="24" w16cid:durableId="327637842">
    <w:abstractNumId w:val="21"/>
  </w:num>
  <w:num w:numId="25" w16cid:durableId="99763819">
    <w:abstractNumId w:val="6"/>
  </w:num>
  <w:num w:numId="26" w16cid:durableId="10558098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6113068">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9198513">
    <w:abstractNumId w:val="4"/>
  </w:num>
  <w:num w:numId="29" w16cid:durableId="1680959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3A"/>
    <w:rsid w:val="0000196D"/>
    <w:rsid w:val="000119B7"/>
    <w:rsid w:val="00013F98"/>
    <w:rsid w:val="00016B25"/>
    <w:rsid w:val="00030CF1"/>
    <w:rsid w:val="0007690A"/>
    <w:rsid w:val="00081878"/>
    <w:rsid w:val="000833DA"/>
    <w:rsid w:val="00096BCD"/>
    <w:rsid w:val="000A1D7A"/>
    <w:rsid w:val="000A66FB"/>
    <w:rsid w:val="000B26BC"/>
    <w:rsid w:val="000B3F42"/>
    <w:rsid w:val="000D5F2B"/>
    <w:rsid w:val="000E7544"/>
    <w:rsid w:val="000F1E06"/>
    <w:rsid w:val="000F380F"/>
    <w:rsid w:val="000F542B"/>
    <w:rsid w:val="001273B8"/>
    <w:rsid w:val="001307F3"/>
    <w:rsid w:val="001320CE"/>
    <w:rsid w:val="00135177"/>
    <w:rsid w:val="00143DCD"/>
    <w:rsid w:val="001442CD"/>
    <w:rsid w:val="00146D4C"/>
    <w:rsid w:val="0018345F"/>
    <w:rsid w:val="001A2E19"/>
    <w:rsid w:val="001A4E4D"/>
    <w:rsid w:val="001B0D20"/>
    <w:rsid w:val="001B51A9"/>
    <w:rsid w:val="001B611A"/>
    <w:rsid w:val="001C5F8B"/>
    <w:rsid w:val="001D095E"/>
    <w:rsid w:val="001D0EAC"/>
    <w:rsid w:val="001D359D"/>
    <w:rsid w:val="001E7231"/>
    <w:rsid w:val="001F0747"/>
    <w:rsid w:val="001F390D"/>
    <w:rsid w:val="001F4894"/>
    <w:rsid w:val="00204A89"/>
    <w:rsid w:val="00231C54"/>
    <w:rsid w:val="00232397"/>
    <w:rsid w:val="00235911"/>
    <w:rsid w:val="002440A4"/>
    <w:rsid w:val="00251906"/>
    <w:rsid w:val="00256E63"/>
    <w:rsid w:val="00260062"/>
    <w:rsid w:val="002730AE"/>
    <w:rsid w:val="00295BC7"/>
    <w:rsid w:val="00297301"/>
    <w:rsid w:val="002C2F61"/>
    <w:rsid w:val="0031613A"/>
    <w:rsid w:val="0033365E"/>
    <w:rsid w:val="00334E14"/>
    <w:rsid w:val="00344E03"/>
    <w:rsid w:val="00362BAA"/>
    <w:rsid w:val="003636F9"/>
    <w:rsid w:val="0036726B"/>
    <w:rsid w:val="00371BD0"/>
    <w:rsid w:val="00390795"/>
    <w:rsid w:val="003B1009"/>
    <w:rsid w:val="003C0FCE"/>
    <w:rsid w:val="003C1CF2"/>
    <w:rsid w:val="003E0969"/>
    <w:rsid w:val="00403A42"/>
    <w:rsid w:val="00420DB8"/>
    <w:rsid w:val="00433308"/>
    <w:rsid w:val="00446477"/>
    <w:rsid w:val="00456A28"/>
    <w:rsid w:val="00467BA9"/>
    <w:rsid w:val="00477754"/>
    <w:rsid w:val="00485282"/>
    <w:rsid w:val="00494BA1"/>
    <w:rsid w:val="004966BD"/>
    <w:rsid w:val="004A0539"/>
    <w:rsid w:val="004A2558"/>
    <w:rsid w:val="004A3D97"/>
    <w:rsid w:val="004B1E5A"/>
    <w:rsid w:val="004C4597"/>
    <w:rsid w:val="004D10E7"/>
    <w:rsid w:val="004D1CEE"/>
    <w:rsid w:val="004E2AA2"/>
    <w:rsid w:val="004E2C39"/>
    <w:rsid w:val="004E492D"/>
    <w:rsid w:val="004F19BE"/>
    <w:rsid w:val="004F1B99"/>
    <w:rsid w:val="00500780"/>
    <w:rsid w:val="00532531"/>
    <w:rsid w:val="0053350D"/>
    <w:rsid w:val="00535E6E"/>
    <w:rsid w:val="00536775"/>
    <w:rsid w:val="0054528F"/>
    <w:rsid w:val="00551149"/>
    <w:rsid w:val="00552E85"/>
    <w:rsid w:val="00557A88"/>
    <w:rsid w:val="00557BB4"/>
    <w:rsid w:val="00560849"/>
    <w:rsid w:val="0057724F"/>
    <w:rsid w:val="0058132C"/>
    <w:rsid w:val="0058390C"/>
    <w:rsid w:val="005932F4"/>
    <w:rsid w:val="005959F3"/>
    <w:rsid w:val="00597E67"/>
    <w:rsid w:val="005D46CD"/>
    <w:rsid w:val="005E119E"/>
    <w:rsid w:val="005F7C50"/>
    <w:rsid w:val="006212F0"/>
    <w:rsid w:val="0062344A"/>
    <w:rsid w:val="00625018"/>
    <w:rsid w:val="00631265"/>
    <w:rsid w:val="00633F83"/>
    <w:rsid w:val="00644F83"/>
    <w:rsid w:val="00661FC2"/>
    <w:rsid w:val="006652A2"/>
    <w:rsid w:val="006742A9"/>
    <w:rsid w:val="006823AD"/>
    <w:rsid w:val="006944E4"/>
    <w:rsid w:val="00694C57"/>
    <w:rsid w:val="006A6A77"/>
    <w:rsid w:val="006C21B9"/>
    <w:rsid w:val="006D51A2"/>
    <w:rsid w:val="006D5379"/>
    <w:rsid w:val="006F31F7"/>
    <w:rsid w:val="00711B22"/>
    <w:rsid w:val="00714F99"/>
    <w:rsid w:val="00716962"/>
    <w:rsid w:val="00725527"/>
    <w:rsid w:val="00726311"/>
    <w:rsid w:val="00734D76"/>
    <w:rsid w:val="00741E1D"/>
    <w:rsid w:val="00750080"/>
    <w:rsid w:val="0075523F"/>
    <w:rsid w:val="00756EC5"/>
    <w:rsid w:val="007625A8"/>
    <w:rsid w:val="00763731"/>
    <w:rsid w:val="00786A9F"/>
    <w:rsid w:val="00791C42"/>
    <w:rsid w:val="00796D12"/>
    <w:rsid w:val="007A78F7"/>
    <w:rsid w:val="007B4DE6"/>
    <w:rsid w:val="007D47EC"/>
    <w:rsid w:val="007D757B"/>
    <w:rsid w:val="007E3353"/>
    <w:rsid w:val="007E50BB"/>
    <w:rsid w:val="007F13E9"/>
    <w:rsid w:val="007F4D6F"/>
    <w:rsid w:val="0081303B"/>
    <w:rsid w:val="00816627"/>
    <w:rsid w:val="00816F4E"/>
    <w:rsid w:val="0082321E"/>
    <w:rsid w:val="008325B9"/>
    <w:rsid w:val="0083631C"/>
    <w:rsid w:val="00843F36"/>
    <w:rsid w:val="00860971"/>
    <w:rsid w:val="00864292"/>
    <w:rsid w:val="00871C14"/>
    <w:rsid w:val="008752F7"/>
    <w:rsid w:val="008866DC"/>
    <w:rsid w:val="008918DC"/>
    <w:rsid w:val="0089369C"/>
    <w:rsid w:val="00894250"/>
    <w:rsid w:val="008C6821"/>
    <w:rsid w:val="008D489A"/>
    <w:rsid w:val="008D4D5C"/>
    <w:rsid w:val="008D68BA"/>
    <w:rsid w:val="008E56D9"/>
    <w:rsid w:val="008F2959"/>
    <w:rsid w:val="009132B0"/>
    <w:rsid w:val="009161C5"/>
    <w:rsid w:val="00917732"/>
    <w:rsid w:val="00922517"/>
    <w:rsid w:val="0093325E"/>
    <w:rsid w:val="009338B7"/>
    <w:rsid w:val="009410EB"/>
    <w:rsid w:val="0094459C"/>
    <w:rsid w:val="009469E1"/>
    <w:rsid w:val="009A0C01"/>
    <w:rsid w:val="009B157B"/>
    <w:rsid w:val="009B3F1D"/>
    <w:rsid w:val="009C215C"/>
    <w:rsid w:val="009C67D5"/>
    <w:rsid w:val="009D0210"/>
    <w:rsid w:val="009E14F8"/>
    <w:rsid w:val="009E3310"/>
    <w:rsid w:val="009F6ECA"/>
    <w:rsid w:val="00A115B7"/>
    <w:rsid w:val="00A17BB7"/>
    <w:rsid w:val="00A26AB3"/>
    <w:rsid w:val="00A27F7B"/>
    <w:rsid w:val="00A52A3B"/>
    <w:rsid w:val="00A71098"/>
    <w:rsid w:val="00A71A5B"/>
    <w:rsid w:val="00A75FB5"/>
    <w:rsid w:val="00A84743"/>
    <w:rsid w:val="00A8685F"/>
    <w:rsid w:val="00A9107F"/>
    <w:rsid w:val="00A95ECB"/>
    <w:rsid w:val="00A97D9D"/>
    <w:rsid w:val="00AC37EB"/>
    <w:rsid w:val="00AC3F80"/>
    <w:rsid w:val="00AC7F7B"/>
    <w:rsid w:val="00AE05A1"/>
    <w:rsid w:val="00AE5585"/>
    <w:rsid w:val="00AF199F"/>
    <w:rsid w:val="00AF5A87"/>
    <w:rsid w:val="00B127EB"/>
    <w:rsid w:val="00B13FC7"/>
    <w:rsid w:val="00B14744"/>
    <w:rsid w:val="00B15107"/>
    <w:rsid w:val="00B16B47"/>
    <w:rsid w:val="00B16E84"/>
    <w:rsid w:val="00B20F2E"/>
    <w:rsid w:val="00B22FAC"/>
    <w:rsid w:val="00B264AC"/>
    <w:rsid w:val="00B45ADD"/>
    <w:rsid w:val="00B46F3B"/>
    <w:rsid w:val="00B537A0"/>
    <w:rsid w:val="00B64000"/>
    <w:rsid w:val="00B84391"/>
    <w:rsid w:val="00B92EA7"/>
    <w:rsid w:val="00B960F9"/>
    <w:rsid w:val="00B96340"/>
    <w:rsid w:val="00BA261B"/>
    <w:rsid w:val="00BC6755"/>
    <w:rsid w:val="00BD4E72"/>
    <w:rsid w:val="00BE2B62"/>
    <w:rsid w:val="00C0538A"/>
    <w:rsid w:val="00C06097"/>
    <w:rsid w:val="00C16772"/>
    <w:rsid w:val="00C31165"/>
    <w:rsid w:val="00C34B75"/>
    <w:rsid w:val="00C4554B"/>
    <w:rsid w:val="00C63485"/>
    <w:rsid w:val="00C76F36"/>
    <w:rsid w:val="00C86567"/>
    <w:rsid w:val="00CA0E24"/>
    <w:rsid w:val="00CA2C2B"/>
    <w:rsid w:val="00CA5EAD"/>
    <w:rsid w:val="00CA6FFA"/>
    <w:rsid w:val="00CB5EB2"/>
    <w:rsid w:val="00CD2388"/>
    <w:rsid w:val="00CD2940"/>
    <w:rsid w:val="00CD64D0"/>
    <w:rsid w:val="00CF65F2"/>
    <w:rsid w:val="00D13A91"/>
    <w:rsid w:val="00D21A5F"/>
    <w:rsid w:val="00D228D6"/>
    <w:rsid w:val="00D24167"/>
    <w:rsid w:val="00D31332"/>
    <w:rsid w:val="00D418E1"/>
    <w:rsid w:val="00D55D9D"/>
    <w:rsid w:val="00D64012"/>
    <w:rsid w:val="00D742FB"/>
    <w:rsid w:val="00D76364"/>
    <w:rsid w:val="00D90892"/>
    <w:rsid w:val="00D921E7"/>
    <w:rsid w:val="00D93498"/>
    <w:rsid w:val="00D961A4"/>
    <w:rsid w:val="00D97557"/>
    <w:rsid w:val="00DA1457"/>
    <w:rsid w:val="00DA1B97"/>
    <w:rsid w:val="00DA774A"/>
    <w:rsid w:val="00DB1312"/>
    <w:rsid w:val="00E02138"/>
    <w:rsid w:val="00E02BE6"/>
    <w:rsid w:val="00E374D0"/>
    <w:rsid w:val="00E458CA"/>
    <w:rsid w:val="00E5116B"/>
    <w:rsid w:val="00E75E95"/>
    <w:rsid w:val="00E80A25"/>
    <w:rsid w:val="00E818D0"/>
    <w:rsid w:val="00E82A50"/>
    <w:rsid w:val="00E83F53"/>
    <w:rsid w:val="00E96366"/>
    <w:rsid w:val="00EA5E53"/>
    <w:rsid w:val="00EB1189"/>
    <w:rsid w:val="00EB280C"/>
    <w:rsid w:val="00EB6CB6"/>
    <w:rsid w:val="00EB7DD9"/>
    <w:rsid w:val="00ED0BD3"/>
    <w:rsid w:val="00ED1832"/>
    <w:rsid w:val="00ED6F07"/>
    <w:rsid w:val="00EE7BCF"/>
    <w:rsid w:val="00F0223D"/>
    <w:rsid w:val="00F02421"/>
    <w:rsid w:val="00F0367F"/>
    <w:rsid w:val="00F06C48"/>
    <w:rsid w:val="00F1463D"/>
    <w:rsid w:val="00F14C3C"/>
    <w:rsid w:val="00F27888"/>
    <w:rsid w:val="00F33C6D"/>
    <w:rsid w:val="00F34FAD"/>
    <w:rsid w:val="00F4107B"/>
    <w:rsid w:val="00F44429"/>
    <w:rsid w:val="00F71485"/>
    <w:rsid w:val="00F73345"/>
    <w:rsid w:val="00F91D39"/>
    <w:rsid w:val="00F949DF"/>
    <w:rsid w:val="00FC2FA7"/>
    <w:rsid w:val="00FD6575"/>
    <w:rsid w:val="00FD780C"/>
    <w:rsid w:val="00FE3FA1"/>
    <w:rsid w:val="00FF2CC2"/>
    <w:rsid w:val="00FF6A4F"/>
    <w:rsid w:val="0EEDD101"/>
    <w:rsid w:val="272F03C7"/>
    <w:rsid w:val="2A658EED"/>
    <w:rsid w:val="2F6A3267"/>
    <w:rsid w:val="7A5F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D5B29"/>
  <w15:chartTrackingRefBased/>
  <w15:docId w15:val="{17B0E856-1499-4DD1-B13F-A12F969F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13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13A"/>
    <w:pPr>
      <w:spacing w:after="0" w:line="240" w:lineRule="auto"/>
    </w:pPr>
    <w:rPr>
      <w:lang w:val="en-GB"/>
    </w:rPr>
  </w:style>
  <w:style w:type="table" w:styleId="TableGrid">
    <w:name w:val="Table Grid"/>
    <w:basedOn w:val="TableNormal"/>
    <w:uiPriority w:val="39"/>
    <w:rsid w:val="0031613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13A"/>
    <w:pPr>
      <w:ind w:left="720"/>
      <w:contextualSpacing/>
    </w:pPr>
  </w:style>
  <w:style w:type="character" w:styleId="Hyperlink">
    <w:name w:val="Hyperlink"/>
    <w:basedOn w:val="DefaultParagraphFont"/>
    <w:uiPriority w:val="99"/>
    <w:unhideWhenUsed/>
    <w:rsid w:val="009132B0"/>
    <w:rPr>
      <w:color w:val="0563C1" w:themeColor="hyperlink"/>
      <w:u w:val="single"/>
    </w:rPr>
  </w:style>
  <w:style w:type="character" w:styleId="UnresolvedMention">
    <w:name w:val="Unresolved Mention"/>
    <w:basedOn w:val="DefaultParagraphFont"/>
    <w:uiPriority w:val="99"/>
    <w:semiHidden/>
    <w:unhideWhenUsed/>
    <w:rsid w:val="004A0539"/>
    <w:rPr>
      <w:color w:val="605E5C"/>
      <w:shd w:val="clear" w:color="auto" w:fill="E1DFDD"/>
    </w:rPr>
  </w:style>
  <w:style w:type="paragraph" w:styleId="Header">
    <w:name w:val="header"/>
    <w:basedOn w:val="Normal"/>
    <w:link w:val="HeaderChar"/>
    <w:uiPriority w:val="99"/>
    <w:unhideWhenUsed/>
    <w:rsid w:val="0081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627"/>
    <w:rPr>
      <w:lang w:val="en-GB"/>
    </w:rPr>
  </w:style>
  <w:style w:type="paragraph" w:styleId="Footer">
    <w:name w:val="footer"/>
    <w:basedOn w:val="Normal"/>
    <w:link w:val="FooterChar"/>
    <w:uiPriority w:val="99"/>
    <w:unhideWhenUsed/>
    <w:rsid w:val="0081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627"/>
    <w:rPr>
      <w:lang w:val="en-GB"/>
    </w:rPr>
  </w:style>
  <w:style w:type="paragraph" w:styleId="BalloonText">
    <w:name w:val="Balloon Text"/>
    <w:basedOn w:val="Normal"/>
    <w:link w:val="BalloonTextChar"/>
    <w:uiPriority w:val="99"/>
    <w:semiHidden/>
    <w:unhideWhenUsed/>
    <w:rsid w:val="00796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D12"/>
    <w:rPr>
      <w:rFonts w:ascii="Segoe UI" w:hAnsi="Segoe UI" w:cs="Segoe UI"/>
      <w:sz w:val="18"/>
      <w:szCs w:val="18"/>
      <w:lang w:val="en-GB"/>
    </w:rPr>
  </w:style>
  <w:style w:type="character" w:styleId="CommentReference">
    <w:name w:val="annotation reference"/>
    <w:basedOn w:val="DefaultParagraphFont"/>
    <w:uiPriority w:val="99"/>
    <w:semiHidden/>
    <w:unhideWhenUsed/>
    <w:rsid w:val="00597E67"/>
    <w:rPr>
      <w:sz w:val="16"/>
      <w:szCs w:val="16"/>
    </w:rPr>
  </w:style>
  <w:style w:type="paragraph" w:styleId="CommentText">
    <w:name w:val="annotation text"/>
    <w:basedOn w:val="Normal"/>
    <w:link w:val="CommentTextChar"/>
    <w:uiPriority w:val="99"/>
    <w:unhideWhenUsed/>
    <w:rsid w:val="00597E67"/>
    <w:pPr>
      <w:spacing w:line="240" w:lineRule="auto"/>
    </w:pPr>
    <w:rPr>
      <w:sz w:val="20"/>
      <w:szCs w:val="20"/>
    </w:rPr>
  </w:style>
  <w:style w:type="character" w:customStyle="1" w:styleId="CommentTextChar">
    <w:name w:val="Comment Text Char"/>
    <w:basedOn w:val="DefaultParagraphFont"/>
    <w:link w:val="CommentText"/>
    <w:uiPriority w:val="99"/>
    <w:rsid w:val="00597E67"/>
    <w:rPr>
      <w:sz w:val="20"/>
      <w:szCs w:val="20"/>
      <w:lang w:val="en-GB"/>
    </w:rPr>
  </w:style>
  <w:style w:type="paragraph" w:styleId="CommentSubject">
    <w:name w:val="annotation subject"/>
    <w:basedOn w:val="CommentText"/>
    <w:next w:val="CommentText"/>
    <w:link w:val="CommentSubjectChar"/>
    <w:uiPriority w:val="99"/>
    <w:semiHidden/>
    <w:unhideWhenUsed/>
    <w:rsid w:val="00597E67"/>
    <w:rPr>
      <w:b/>
      <w:bCs/>
    </w:rPr>
  </w:style>
  <w:style w:type="character" w:customStyle="1" w:styleId="CommentSubjectChar">
    <w:name w:val="Comment Subject Char"/>
    <w:basedOn w:val="CommentTextChar"/>
    <w:link w:val="CommentSubject"/>
    <w:uiPriority w:val="99"/>
    <w:semiHidden/>
    <w:rsid w:val="00597E6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924">
      <w:bodyDiv w:val="1"/>
      <w:marLeft w:val="0"/>
      <w:marRight w:val="0"/>
      <w:marTop w:val="0"/>
      <w:marBottom w:val="0"/>
      <w:divBdr>
        <w:top w:val="none" w:sz="0" w:space="0" w:color="auto"/>
        <w:left w:val="none" w:sz="0" w:space="0" w:color="auto"/>
        <w:bottom w:val="none" w:sz="0" w:space="0" w:color="auto"/>
        <w:right w:val="none" w:sz="0" w:space="0" w:color="auto"/>
      </w:divBdr>
    </w:div>
    <w:div w:id="719980847">
      <w:bodyDiv w:val="1"/>
      <w:marLeft w:val="0"/>
      <w:marRight w:val="0"/>
      <w:marTop w:val="0"/>
      <w:marBottom w:val="0"/>
      <w:divBdr>
        <w:top w:val="none" w:sz="0" w:space="0" w:color="auto"/>
        <w:left w:val="none" w:sz="0" w:space="0" w:color="auto"/>
        <w:bottom w:val="none" w:sz="0" w:space="0" w:color="auto"/>
        <w:right w:val="none" w:sz="0" w:space="0" w:color="auto"/>
      </w:divBdr>
    </w:div>
    <w:div w:id="19712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sct.co.uk/usr/pdf/Standard%20Treatment%25Programm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csct.co.uk/publications/Vaping_brief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sct.co.uk" TargetMode="External"/><Relationship Id="rId5" Type="http://schemas.openxmlformats.org/officeDocument/2006/relationships/styles" Target="styles.xml"/><Relationship Id="rId15" Type="http://schemas.openxmlformats.org/officeDocument/2006/relationships/hyperlink" Target="mailto:ewoodworth@nhs.net" TargetMode="External"/><Relationship Id="rId23" Type="http://schemas.openxmlformats.org/officeDocument/2006/relationships/theme" Target="theme/theme1.xml"/><Relationship Id="rId10" Type="http://schemas.openxmlformats.org/officeDocument/2006/relationships/hyperlink" Target="http://www.ncsct.co.uk/usr/pdf/Standard%20Treatment%20Programme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mokefree.sefton@nhs.ne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9467BB8F69F4C9DA47348CD60004C" ma:contentTypeVersion="" ma:contentTypeDescription="Create a new document." ma:contentTypeScope="" ma:versionID="8df5d52e1c31f9e50a79ae8c9bf54cd5">
  <xsd:schema xmlns:xsd="http://www.w3.org/2001/XMLSchema" xmlns:xs="http://www.w3.org/2001/XMLSchema" xmlns:p="http://schemas.microsoft.com/office/2006/metadata/properties" xmlns:ns2="0ba15400-5e57-471a-a895-c12e5e28364b" xmlns:ns3="eb01b888-7a3f-446e-8b7c-dbf85259c172" targetNamespace="http://schemas.microsoft.com/office/2006/metadata/properties" ma:root="true" ma:fieldsID="36c9e24a04cfdb087f908feb2bb26571" ns2:_="" ns3:_="">
    <xsd:import namespace="0ba15400-5e57-471a-a895-c12e5e28364b"/>
    <xsd:import namespace="eb01b888-7a3f-446e-8b7c-dbf85259c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5400-5e57-471a-a895-c12e5e2836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01b888-7a3f-446e-8b7c-dbf85259c1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F3021-928F-4D64-A488-C44A4976ADCA}">
  <ds:schemaRefs>
    <ds:schemaRef ds:uri="http://schemas.microsoft.com/sharepoint/v3/contenttype/forms"/>
  </ds:schemaRefs>
</ds:datastoreItem>
</file>

<file path=customXml/itemProps2.xml><?xml version="1.0" encoding="utf-8"?>
<ds:datastoreItem xmlns:ds="http://schemas.openxmlformats.org/officeDocument/2006/customXml" ds:itemID="{B080B3E3-2F3C-45D4-9E50-13DFCC16F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5400-5e57-471a-a895-c12e5e28364b"/>
    <ds:schemaRef ds:uri="eb01b888-7a3f-446e-8b7c-dbf85259c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E08D6-8218-4371-B21D-EC39FA0CE9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Woodworth</dc:creator>
  <cp:keywords/>
  <dc:description/>
  <cp:lastModifiedBy>jess_bibby@yahoo.co.uk</cp:lastModifiedBy>
  <cp:revision>2</cp:revision>
  <cp:lastPrinted>2024-03-13T14:38:00Z</cp:lastPrinted>
  <dcterms:created xsi:type="dcterms:W3CDTF">2024-03-25T21:20:00Z</dcterms:created>
  <dcterms:modified xsi:type="dcterms:W3CDTF">2024-03-25T21:20:00Z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0x010100BB89467BB8F69F4C9DA47348CD60004C</vt:lpwstr>
  </property>
</Properties>
</file>