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3D7C" w14:textId="695DC84D" w:rsidR="00B25DD1" w:rsidRPr="00231C6C" w:rsidRDefault="00B25DD1" w:rsidP="00B25DD1">
      <w:pPr>
        <w:spacing w:before="100" w:beforeAutospacing="1" w:after="100" w:afterAutospacing="1"/>
        <w:rPr>
          <w:b/>
          <w:color w:val="262626" w:themeColor="text1" w:themeTint="D9"/>
          <w:sz w:val="36"/>
          <w:szCs w:val="36"/>
        </w:rPr>
      </w:pPr>
      <w:r w:rsidRPr="00231C6C">
        <w:rPr>
          <w:b/>
          <w:color w:val="262626" w:themeColor="text1" w:themeTint="D9"/>
          <w:sz w:val="36"/>
          <w:szCs w:val="36"/>
        </w:rPr>
        <w:t>Getting started with PharmOutcomes</w:t>
      </w:r>
      <w:r w:rsidR="00231C6C" w:rsidRPr="00231C6C">
        <w:rPr>
          <w:b/>
          <w:color w:val="262626" w:themeColor="text1" w:themeTint="D9"/>
          <w:sz w:val="36"/>
          <w:szCs w:val="36"/>
        </w:rPr>
        <w:t xml:space="preserve"> Guide</w:t>
      </w:r>
    </w:p>
    <w:p w14:paraId="3E3D8DD9" w14:textId="77777777" w:rsidR="00B25DD1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bCs/>
          <w:color w:val="262626" w:themeColor="text1" w:themeTint="D9"/>
          <w:sz w:val="22"/>
          <w:szCs w:val="22"/>
        </w:rPr>
        <w:t xml:space="preserve">How to </w:t>
      </w:r>
      <w:r w:rsidR="007762CA" w:rsidRPr="00231C6C">
        <w:rPr>
          <w:rFonts w:ascii="Helvetica Neue" w:eastAsia="Times New Roman" w:hAnsi="Helvetica Neue" w:cs="Times New Roman"/>
          <w:b/>
          <w:bCs/>
          <w:color w:val="262626" w:themeColor="text1" w:themeTint="D9"/>
          <w:sz w:val="22"/>
          <w:szCs w:val="22"/>
        </w:rPr>
        <w:t>l</w:t>
      </w:r>
      <w:r w:rsidR="00B25DD1" w:rsidRPr="00231C6C">
        <w:rPr>
          <w:rFonts w:ascii="Helvetica Neue" w:eastAsia="Times New Roman" w:hAnsi="Helvetica Neue" w:cs="Times New Roman"/>
          <w:b/>
          <w:bCs/>
          <w:color w:val="262626" w:themeColor="text1" w:themeTint="D9"/>
          <w:sz w:val="22"/>
          <w:szCs w:val="22"/>
        </w:rPr>
        <w:t>og</w:t>
      </w:r>
      <w:r w:rsidRPr="00231C6C">
        <w:rPr>
          <w:rFonts w:ascii="Helvetica Neue" w:eastAsia="Times New Roman" w:hAnsi="Helvetica Neue" w:cs="Times New Roman"/>
          <w:b/>
          <w:bCs/>
          <w:color w:val="262626" w:themeColor="text1" w:themeTint="D9"/>
          <w:sz w:val="22"/>
          <w:szCs w:val="22"/>
        </w:rPr>
        <w:t>-in</w:t>
      </w:r>
      <w:r w:rsidR="00B25DD1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</w:t>
      </w:r>
    </w:p>
    <w:p w14:paraId="5A778277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If you are logging in to PharmOutcomes for the first time you will have received a password and username by Pinnacle health to the e-mail address you provided to them. </w:t>
      </w:r>
    </w:p>
    <w:p w14:paraId="35D4F7C2" w14:textId="77777777" w:rsidR="007762CA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Access this </w:t>
      </w:r>
      <w:hyperlink r:id="rId7" w:history="1">
        <w:r w:rsidRPr="00481E76">
          <w:rPr>
            <w:rStyle w:val="Hyperlink"/>
            <w:rFonts w:ascii="Helvetica" w:hAnsi="Helvetica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for full instruction of what you need to do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to get started. </w:t>
      </w:r>
    </w:p>
    <w:p w14:paraId="46318FDD" w14:textId="6DADA3D4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Please</w:t>
      </w:r>
      <w:r w:rsidR="008F3BD5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</w:t>
      </w:r>
      <w:r w:rsidR="008F3BD5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note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it is recommended that each member of the pharmacy team has their own login if they need to access the PharmOutcomes platform</w:t>
      </w:r>
      <w:r w:rsidR="00BC118E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as most services are user specific. </w:t>
      </w:r>
    </w:p>
    <w:p w14:paraId="7668E893" w14:textId="77777777" w:rsidR="00B25DD1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How to a</w:t>
      </w:r>
      <w:r w:rsidR="00B25DD1"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dd</w:t>
      </w: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 xml:space="preserve"> </w:t>
      </w:r>
      <w:r w:rsidR="00B25DD1"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 xml:space="preserve">a new user </w:t>
      </w:r>
    </w:p>
    <w:p w14:paraId="31AF40B2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bCs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Cs/>
          <w:color w:val="262626" w:themeColor="text1" w:themeTint="D9"/>
          <w:sz w:val="22"/>
          <w:szCs w:val="22"/>
        </w:rPr>
        <w:t>The initial user in each pharmacy should have the ability to set up individual logins for staff members.</w:t>
      </w:r>
    </w:p>
    <w:p w14:paraId="2B51B8B8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This </w:t>
      </w:r>
      <w:hyperlink r:id="rId8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will show you the process that you need to follow. If you do not have authorisation, please contact the Pinnacle Helpdesk for support. </w:t>
      </w:r>
    </w:p>
    <w:p w14:paraId="79282C54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It is important that staff are able to access PharmOutcomes every day, please ensure that enough support staff are able to access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, 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especially if you regularly use locums or relief managers who may not be able to access the system. </w:t>
      </w:r>
    </w:p>
    <w:p w14:paraId="15398948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What to do if you’ve lost your Username &amp; Password</w:t>
      </w:r>
    </w:p>
    <w:p w14:paraId="5B543EE2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If a staff member has forgotten their login details the user name can be easily found by the administrator and a password re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-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set sent. </w:t>
      </w:r>
    </w:p>
    <w:p w14:paraId="49FD58FD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This </w:t>
      </w:r>
      <w:hyperlink r:id="rId9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will show you the process you need to follow. </w:t>
      </w:r>
    </w:p>
    <w:p w14:paraId="174BC98A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If the administrator is unable to login, please contact the Pinnacle Helpdesk for support. If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possible, you should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set more than one person to have administrator rights. This </w:t>
      </w:r>
      <w:hyperlink r:id="rId10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="007762CA" w:rsidRPr="004B71DD">
        <w:rPr>
          <w:rFonts w:ascii="Helvetica Neue" w:eastAsia="Times New Roman" w:hAnsi="Helvetica Neue" w:cs="Times New Roman"/>
          <w:color w:val="4472C4" w:themeColor="accent1"/>
          <w:sz w:val="22"/>
          <w:szCs w:val="22"/>
        </w:rPr>
        <w:t xml:space="preserve">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shows 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how an administrator can update the permissions of other users.</w:t>
      </w:r>
    </w:p>
    <w:p w14:paraId="517F6EA0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What to do if you’ve lost your Password</w:t>
      </w:r>
    </w:p>
    <w:p w14:paraId="20C3D282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If you have forgotten your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password only,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you can click on lost password on the home page and use your username and e-mail for a password re-set to be sent to your registered e-mail address. </w:t>
      </w:r>
    </w:p>
    <w:p w14:paraId="136F8BAA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Accessing the message Inbox</w:t>
      </w:r>
    </w:p>
    <w:p w14:paraId="570B6CE4" w14:textId="77777777" w:rsidR="00E40D22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Commissioners &amp; your LPC may use the message facility on PharmOutcomes to communicate with you. Please ensure that messages are checked regularly. This </w:t>
      </w:r>
      <w:hyperlink r:id="rId11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will tell you more about messages and what you need to do.</w:t>
      </w:r>
    </w:p>
    <w:p w14:paraId="355B1E15" w14:textId="562EA8B8" w:rsidR="00BC118E" w:rsidRPr="00E40D22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Enrolment</w:t>
      </w:r>
    </w:p>
    <w:p w14:paraId="039DE2ED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A number of services now require pharmacists to enrol to provide services. Enrolments are service specific and will therefore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vary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for different services. </w:t>
      </w:r>
    </w:p>
    <w:p w14:paraId="5B1742A9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It is recommended that pharmacists enrol before providing the service to ensure that they have completed all the requirements set by the commissioner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and given the appropriate permissions to access their CPPE record. </w:t>
      </w:r>
    </w:p>
    <w:p w14:paraId="26653FD0" w14:textId="77777777" w:rsidR="00BC118E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This </w:t>
      </w:r>
      <w:hyperlink r:id="rId12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fully explains the process. </w:t>
      </w:r>
    </w:p>
    <w:p w14:paraId="154DD00E" w14:textId="77777777" w:rsidR="007762CA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 xml:space="preserve">GP Notifications </w:t>
      </w:r>
    </w:p>
    <w:p w14:paraId="6533531E" w14:textId="77777777" w:rsidR="007762CA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GP notifications are a requirement of some services for example: Flu, NUMSAS and some PGD led services. </w:t>
      </w:r>
    </w:p>
    <w:p w14:paraId="7D08A247" w14:textId="77777777" w:rsidR="007762CA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Notifications will be sent electronically if the GP practice has given permission for this to happen. PharmOutcomes will show if a message has been sent and will also alert you if a notification cannot be sent and needs to be sent via another route. </w:t>
      </w:r>
    </w:p>
    <w:p w14:paraId="4F466BB6" w14:textId="77777777" w:rsidR="007762CA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This </w:t>
      </w:r>
      <w:hyperlink r:id="rId13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explains GP notifications in more details. </w:t>
      </w:r>
    </w:p>
    <w:p w14:paraId="5B9F10F0" w14:textId="77777777" w:rsidR="00B25DD1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 xml:space="preserve">Supporting Information </w:t>
      </w:r>
    </w:p>
    <w:p w14:paraId="0059AFA4" w14:textId="77777777" w:rsidR="00B25DD1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Click </w:t>
      </w:r>
      <w:hyperlink r:id="rId14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here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to access the full set of user guides for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PharmOutcomes. </w:t>
      </w:r>
    </w:p>
    <w:p w14:paraId="0BB3E200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Click </w:t>
      </w:r>
      <w:hyperlink r:id="rId15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here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to access a series of video that will support you with service delivery. </w:t>
      </w:r>
    </w:p>
    <w:p w14:paraId="0EF1CF0E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</w:p>
    <w:p w14:paraId="6DA0FEA7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</w:p>
    <w:p w14:paraId="54562E90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</w:p>
    <w:p w14:paraId="09451D1D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</w:p>
    <w:p w14:paraId="3B7A89FF" w14:textId="77777777" w:rsidR="00355C19" w:rsidRPr="00231C6C" w:rsidRDefault="00271322" w:rsidP="00B25DD1">
      <w:pPr>
        <w:rPr>
          <w:color w:val="262626" w:themeColor="text1" w:themeTint="D9"/>
        </w:rPr>
      </w:pPr>
    </w:p>
    <w:sectPr w:rsidR="00355C19" w:rsidRPr="00231C6C" w:rsidSect="008147D6">
      <w:headerReference w:type="default" r:id="rId16"/>
      <w:pgSz w:w="11900" w:h="16840"/>
      <w:pgMar w:top="1440" w:right="1440" w:bottom="10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EFC32" w14:textId="77777777" w:rsidR="00271322" w:rsidRDefault="00271322" w:rsidP="00AA1D0A">
      <w:r>
        <w:separator/>
      </w:r>
    </w:p>
  </w:endnote>
  <w:endnote w:type="continuationSeparator" w:id="0">
    <w:p w14:paraId="5A4ED45E" w14:textId="77777777" w:rsidR="00271322" w:rsidRDefault="00271322" w:rsidP="00AA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A5C8" w14:textId="77777777" w:rsidR="00271322" w:rsidRDefault="00271322" w:rsidP="00AA1D0A">
      <w:r>
        <w:separator/>
      </w:r>
    </w:p>
  </w:footnote>
  <w:footnote w:type="continuationSeparator" w:id="0">
    <w:p w14:paraId="7FC90AEE" w14:textId="77777777" w:rsidR="00271322" w:rsidRDefault="00271322" w:rsidP="00AA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6881" w14:textId="0F498469" w:rsidR="008F3BD5" w:rsidRPr="008F3BD5" w:rsidRDefault="00E40D22" w:rsidP="008F3BD5">
    <w:pPr>
      <w:pStyle w:val="Header"/>
      <w:jc w:val="right"/>
      <w:rPr>
        <w:b/>
        <w:color w:val="385623" w:themeColor="accent6" w:themeShade="80"/>
        <w:sz w:val="28"/>
        <w:szCs w:val="28"/>
      </w:rPr>
    </w:pPr>
    <w:r>
      <w:rPr>
        <w:b/>
        <w:noProof/>
        <w:color w:val="385623" w:themeColor="accent6" w:themeShade="80"/>
        <w:sz w:val="28"/>
        <w:szCs w:val="28"/>
      </w:rPr>
      <w:drawing>
        <wp:inline distT="0" distB="0" distL="0" distR="0" wp14:anchorId="126956E3" wp14:editId="540777A6">
          <wp:extent cx="5727700" cy="13188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9-05-23 at 21.18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73F91"/>
    <w:multiLevelType w:val="multilevel"/>
    <w:tmpl w:val="D2A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D1"/>
    <w:rsid w:val="000024B0"/>
    <w:rsid w:val="000D54F9"/>
    <w:rsid w:val="00116E38"/>
    <w:rsid w:val="001939DF"/>
    <w:rsid w:val="001B23A8"/>
    <w:rsid w:val="001B4972"/>
    <w:rsid w:val="00205B50"/>
    <w:rsid w:val="0021533D"/>
    <w:rsid w:val="00231C6C"/>
    <w:rsid w:val="00257D07"/>
    <w:rsid w:val="00271322"/>
    <w:rsid w:val="003B4B20"/>
    <w:rsid w:val="003E0D51"/>
    <w:rsid w:val="004232CF"/>
    <w:rsid w:val="00481E76"/>
    <w:rsid w:val="004B2162"/>
    <w:rsid w:val="004B71DD"/>
    <w:rsid w:val="00513EC7"/>
    <w:rsid w:val="00541088"/>
    <w:rsid w:val="00576EE5"/>
    <w:rsid w:val="005B5867"/>
    <w:rsid w:val="00686FA8"/>
    <w:rsid w:val="00766071"/>
    <w:rsid w:val="007762CA"/>
    <w:rsid w:val="007F53EB"/>
    <w:rsid w:val="008147D6"/>
    <w:rsid w:val="0086297D"/>
    <w:rsid w:val="008F3BD5"/>
    <w:rsid w:val="009123DE"/>
    <w:rsid w:val="00955367"/>
    <w:rsid w:val="00983060"/>
    <w:rsid w:val="00997540"/>
    <w:rsid w:val="00A077B8"/>
    <w:rsid w:val="00AA1D0A"/>
    <w:rsid w:val="00AF5AF4"/>
    <w:rsid w:val="00B25DD1"/>
    <w:rsid w:val="00BC118E"/>
    <w:rsid w:val="00C51ED2"/>
    <w:rsid w:val="00CC61EF"/>
    <w:rsid w:val="00DD64A8"/>
    <w:rsid w:val="00E40D22"/>
    <w:rsid w:val="00FD735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F54D"/>
  <w15:chartTrackingRefBased/>
  <w15:docId w15:val="{1479A69D-20FA-5948-A072-6CA7C1B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16E38"/>
    <w:rPr>
      <w:rFonts w:asciiTheme="minorHAnsi" w:hAnsiTheme="minorHAnsi"/>
      <w:color w:val="0563C1" w:themeColor="hyperlink"/>
      <w:sz w:val="20"/>
      <w:u w:val="single"/>
    </w:rPr>
  </w:style>
  <w:style w:type="paragraph" w:customStyle="1" w:styleId="Style1">
    <w:name w:val="Style1"/>
    <w:basedOn w:val="Normal"/>
    <w:autoRedefine/>
    <w:qFormat/>
    <w:rsid w:val="00FD7355"/>
    <w:rPr>
      <w:rFonts w:eastAsia="Times New Roman" w:cs="Times New Roman"/>
      <w:sz w:val="20"/>
    </w:rPr>
  </w:style>
  <w:style w:type="character" w:styleId="Strong">
    <w:name w:val="Strong"/>
    <w:basedOn w:val="DefaultParagraphFont"/>
    <w:uiPriority w:val="22"/>
    <w:qFormat/>
    <w:rsid w:val="00B25DD1"/>
    <w:rPr>
      <w:b/>
      <w:bCs/>
    </w:rPr>
  </w:style>
  <w:style w:type="character" w:customStyle="1" w:styleId="apple-converted-space">
    <w:name w:val="apple-converted-space"/>
    <w:basedOn w:val="DefaultParagraphFont"/>
    <w:rsid w:val="00B25DD1"/>
  </w:style>
  <w:style w:type="character" w:styleId="UnresolvedMention">
    <w:name w:val="Unresolved Mention"/>
    <w:basedOn w:val="DefaultParagraphFont"/>
    <w:uiPriority w:val="99"/>
    <w:semiHidden/>
    <w:unhideWhenUsed/>
    <w:rsid w:val="00B25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D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5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D0A"/>
  </w:style>
  <w:style w:type="paragraph" w:styleId="Footer">
    <w:name w:val="footer"/>
    <w:basedOn w:val="Normal"/>
    <w:link w:val="FooterChar"/>
    <w:uiPriority w:val="99"/>
    <w:unhideWhenUsed/>
    <w:rsid w:val="00AA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D0A"/>
  </w:style>
  <w:style w:type="paragraph" w:styleId="BalloonText">
    <w:name w:val="Balloon Text"/>
    <w:basedOn w:val="Normal"/>
    <w:link w:val="BalloonTextChar"/>
    <w:uiPriority w:val="99"/>
    <w:semiHidden/>
    <w:unhideWhenUsed/>
    <w:rsid w:val="008147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outcomes.org/pharmoutcomes/guides/provider/11.%20Administration%20-%20Creating%20New%20Users%20v1.pdf" TargetMode="External"/><Relationship Id="rId13" Type="http://schemas.openxmlformats.org/officeDocument/2006/relationships/hyperlink" Target="https://pharmoutcomes.org/pharmoutcomes/guides/provider/6.%20Service%20Delivery%20-%20Records%20&amp;%20GP%20Notification%20v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armoutcomes.org/pharmoutcomes/guides/provider/1.%20Getting%20Started%20-%20Home%20Page%20and%20Login%20v1.pdf" TargetMode="External"/><Relationship Id="rId12" Type="http://schemas.openxmlformats.org/officeDocument/2006/relationships/hyperlink" Target="https://pharmoutcomes.org/pharmoutcomes/guides/provider/6a.%20Service%20Delivery%20-%20Enrolmen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armoutcomes.org/pharmoutcomes/guides/provider/2.%20Getting%20Started%20-%20Message%20Inbox%20v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.pharmoutcomes.org/" TargetMode="External"/><Relationship Id="rId10" Type="http://schemas.openxmlformats.org/officeDocument/2006/relationships/hyperlink" Target="https://pharmoutcomes.org/pharmoutcomes/guides/provider/14.%20Administration%20-%20Setting%20Permissions%20v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outcomes.org/pharmoutcomes/guides/provider/13.%20Administration%20-%20Resetting%20Passwords%20v1.pdf" TargetMode="External"/><Relationship Id="rId14" Type="http://schemas.openxmlformats.org/officeDocument/2006/relationships/hyperlink" Target="https://pharmoutcomes.org/pharmoutcomes/help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Gatley</dc:creator>
  <cp:keywords/>
  <dc:description/>
  <cp:lastModifiedBy>Louise Gatley</cp:lastModifiedBy>
  <cp:revision>3</cp:revision>
  <dcterms:created xsi:type="dcterms:W3CDTF">2019-05-23T20:35:00Z</dcterms:created>
  <dcterms:modified xsi:type="dcterms:W3CDTF">2019-05-23T20:35:00Z</dcterms:modified>
</cp:coreProperties>
</file>